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both"/>
        <w:rPr>
          <w:rFonts w:eastAsia="方正小标宋简体"/>
          <w:b/>
          <w:sz w:val="52"/>
          <w:szCs w:val="52"/>
        </w:rPr>
      </w:pPr>
    </w:p>
    <w:p>
      <w:pPr>
        <w:pStyle w:val="13"/>
        <w:rPr>
          <w:rFonts w:hint="eastAsia"/>
          <w:lang w:eastAsia="zh-CN"/>
        </w:rPr>
      </w:pPr>
    </w:p>
    <w:p>
      <w:pPr>
        <w:spacing w:after="156" w:afterLines="50" w:line="560" w:lineRule="exact"/>
        <w:jc w:val="center"/>
        <w:rPr>
          <w:rFonts w:ascii="华文仿宋" w:hAnsi="华文仿宋" w:eastAsia="华文仿宋"/>
          <w:b/>
          <w:sz w:val="52"/>
          <w:szCs w:val="52"/>
        </w:rPr>
      </w:pPr>
      <w:r>
        <w:rPr>
          <w:rFonts w:ascii="华文仿宋" w:hAnsi="华文仿宋" w:eastAsia="华文仿宋"/>
          <w:b/>
          <w:sz w:val="52"/>
          <w:szCs w:val="52"/>
        </w:rPr>
        <w:t>学位授权点</w:t>
      </w:r>
      <w:r>
        <w:rPr>
          <w:rFonts w:hint="eastAsia" w:ascii="华文仿宋" w:hAnsi="华文仿宋" w:eastAsia="华文仿宋"/>
          <w:b/>
          <w:sz w:val="52"/>
          <w:szCs w:val="52"/>
        </w:rPr>
        <w:t>建设年度</w:t>
      </w:r>
      <w:r>
        <w:rPr>
          <w:rFonts w:ascii="华文仿宋" w:hAnsi="华文仿宋" w:eastAsia="华文仿宋"/>
          <w:b/>
          <w:sz w:val="52"/>
          <w:szCs w:val="52"/>
        </w:rPr>
        <w:t>报告</w:t>
      </w:r>
    </w:p>
    <w:p>
      <w:pPr>
        <w:spacing w:after="156" w:afterLines="50" w:line="560" w:lineRule="exact"/>
        <w:jc w:val="center"/>
        <w:rPr>
          <w:rFonts w:eastAsia="方正小标宋简体"/>
          <w:b/>
          <w:sz w:val="44"/>
          <w:szCs w:val="44"/>
        </w:rPr>
      </w:pPr>
      <w:r>
        <w:rPr>
          <w:rFonts w:hint="eastAsia" w:eastAsia="方正小标宋简体"/>
          <w:b/>
          <w:sz w:val="44"/>
          <w:szCs w:val="44"/>
        </w:rPr>
        <w:t>（</w:t>
      </w:r>
      <w:r>
        <w:rPr>
          <w:rFonts w:hint="eastAsia" w:eastAsia="楷体_GB2312"/>
          <w:b/>
          <w:sz w:val="30"/>
          <w:szCs w:val="30"/>
        </w:rPr>
        <w:t>202</w:t>
      </w:r>
      <w:r>
        <w:rPr>
          <w:rFonts w:hint="eastAsia" w:eastAsia="楷体_GB2312"/>
          <w:b/>
          <w:sz w:val="30"/>
          <w:szCs w:val="30"/>
          <w:lang w:val="en-US" w:eastAsia="zh-CN"/>
        </w:rPr>
        <w:t>2</w:t>
      </w:r>
      <w:r>
        <w:rPr>
          <w:rFonts w:hint="eastAsia" w:eastAsia="楷体_GB2312"/>
          <w:b/>
          <w:sz w:val="30"/>
          <w:szCs w:val="30"/>
        </w:rPr>
        <w:t>年</w:t>
      </w:r>
      <w:r>
        <w:rPr>
          <w:rFonts w:hint="eastAsia" w:eastAsia="方正小标宋简体"/>
          <w:b/>
          <w:sz w:val="44"/>
          <w:szCs w:val="44"/>
        </w:rPr>
        <w:t>）</w:t>
      </w:r>
    </w:p>
    <w:p>
      <w:pPr>
        <w:spacing w:after="156" w:afterLines="50" w:line="560" w:lineRule="exact"/>
        <w:rPr>
          <w:rFonts w:eastAsia="方正小标宋简体"/>
          <w:b/>
          <w:sz w:val="44"/>
          <w:szCs w:val="44"/>
        </w:rPr>
      </w:pPr>
    </w:p>
    <w:p>
      <w:pPr>
        <w:spacing w:after="156" w:afterLines="50" w:line="560" w:lineRule="exact"/>
        <w:jc w:val="both"/>
        <w:rPr>
          <w:rFonts w:eastAsia="方正小标宋简体"/>
          <w:b/>
          <w:sz w:val="44"/>
          <w:szCs w:val="44"/>
        </w:rPr>
      </w:pPr>
      <w:bookmarkStart w:id="0" w:name="_Toc27490"/>
      <w:bookmarkStart w:id="1" w:name="_Toc28444"/>
      <w:bookmarkStart w:id="2" w:name="_Toc19570"/>
    </w:p>
    <w:p>
      <w:pPr>
        <w:pStyle w:val="13"/>
      </w:pPr>
    </w:p>
    <w:tbl>
      <w:tblPr>
        <w:tblStyle w:val="10"/>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西安体育学院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1</w:t>
            </w:r>
            <w:r>
              <w:rPr>
                <w:rFonts w:eastAsia="楷体_GB2312"/>
                <w:b/>
                <w:sz w:val="30"/>
                <w:szCs w:val="30"/>
              </w:rPr>
              <w:t>0727</w:t>
            </w:r>
          </w:p>
        </w:tc>
      </w:tr>
    </w:tbl>
    <w:p>
      <w:pPr>
        <w:spacing w:line="720" w:lineRule="auto"/>
        <w:jc w:val="center"/>
        <w:rPr>
          <w:rFonts w:eastAsia="楷体_GB2312"/>
          <w:b/>
          <w:sz w:val="30"/>
          <w:szCs w:val="30"/>
        </w:rPr>
      </w:pPr>
    </w:p>
    <w:tbl>
      <w:tblPr>
        <w:tblStyle w:val="10"/>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PrEx>
        <w:tc>
          <w:tcPr>
            <w:tcW w:w="2160" w:type="dxa"/>
            <w:vMerge w:val="restart"/>
            <w:vAlign w:val="center"/>
          </w:tcPr>
          <w:p>
            <w:pPr>
              <w:jc w:val="distribute"/>
              <w:rPr>
                <w:rFonts w:eastAsia="楷体_GB2312"/>
                <w:b/>
                <w:sz w:val="30"/>
                <w:szCs w:val="30"/>
              </w:rPr>
            </w:pPr>
            <w:r>
              <w:rPr>
                <w:rFonts w:eastAsia="楷体_GB2312"/>
                <w:b/>
                <w:sz w:val="30"/>
                <w:szCs w:val="30"/>
              </w:rPr>
              <w:t>授权学科</w:t>
            </w:r>
          </w:p>
          <w:p>
            <w:pPr>
              <w:jc w:val="distribute"/>
              <w:rPr>
                <w:rFonts w:eastAsia="楷体_GB2312"/>
                <w:b/>
                <w:sz w:val="30"/>
                <w:szCs w:val="30"/>
              </w:rPr>
            </w:pPr>
            <w:r>
              <w:rPr>
                <w:rFonts w:eastAsia="楷体_GB2312"/>
                <w:b/>
                <w:sz w:val="30"/>
                <w:szCs w:val="30"/>
              </w:rPr>
              <w:t>（类别）</w:t>
            </w:r>
          </w:p>
        </w:tc>
        <w:tc>
          <w:tcPr>
            <w:tcW w:w="2880" w:type="dxa"/>
            <w:tcBorders>
              <w:bottom w:val="single" w:color="auto" w:sz="4" w:space="0"/>
            </w:tcBorders>
            <w:vAlign w:val="center"/>
          </w:tcPr>
          <w:p>
            <w:pPr>
              <w:rPr>
                <w:rFonts w:hint="eastAsia" w:eastAsia="楷体_GB2312"/>
                <w:b/>
                <w:sz w:val="30"/>
                <w:szCs w:val="30"/>
                <w:lang w:eastAsia="zh-CN"/>
              </w:rPr>
            </w:pPr>
            <w:r>
              <w:rPr>
                <w:rFonts w:eastAsia="楷体_GB2312"/>
                <w:b/>
                <w:sz w:val="30"/>
                <w:szCs w:val="30"/>
              </w:rPr>
              <w:t>名称：</w:t>
            </w:r>
            <w:r>
              <w:rPr>
                <w:rFonts w:hint="eastAsia" w:eastAsia="楷体_GB2312"/>
                <w:b/>
                <w:sz w:val="30"/>
                <w:szCs w:val="30"/>
                <w:lang w:eastAsia="zh-CN"/>
              </w:rPr>
              <w:t>体育学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hint="default" w:eastAsia="楷体_GB2312"/>
                <w:b/>
                <w:sz w:val="30"/>
                <w:szCs w:val="30"/>
                <w:lang w:val="en-US" w:eastAsia="zh-CN"/>
              </w:rPr>
            </w:pPr>
            <w:r>
              <w:rPr>
                <w:rFonts w:eastAsia="楷体_GB2312"/>
                <w:b/>
                <w:sz w:val="30"/>
                <w:szCs w:val="30"/>
              </w:rPr>
              <w:t>代码：</w:t>
            </w:r>
            <w:r>
              <w:rPr>
                <w:rFonts w:hint="eastAsia" w:eastAsia="楷体_GB2312"/>
                <w:b/>
                <w:sz w:val="30"/>
                <w:szCs w:val="30"/>
              </w:rPr>
              <w:t>040</w:t>
            </w:r>
            <w:r>
              <w:rPr>
                <w:rFonts w:hint="eastAsia" w:eastAsia="楷体_GB2312"/>
                <w:b/>
                <w:sz w:val="30"/>
                <w:szCs w:val="30"/>
                <w:lang w:val="en-US" w:eastAsia="zh-CN"/>
              </w:rPr>
              <w:t>3</w:t>
            </w:r>
          </w:p>
        </w:tc>
      </w:tr>
    </w:tbl>
    <w:p>
      <w:pPr>
        <w:spacing w:line="720" w:lineRule="auto"/>
        <w:jc w:val="center"/>
        <w:rPr>
          <w:rFonts w:eastAsia="楷体_GB2312"/>
          <w:b/>
          <w:sz w:val="30"/>
          <w:szCs w:val="30"/>
        </w:rPr>
      </w:pPr>
    </w:p>
    <w:tbl>
      <w:tblPr>
        <w:tblStyle w:val="10"/>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授权级别</w:t>
            </w:r>
          </w:p>
        </w:tc>
        <w:tc>
          <w:tcPr>
            <w:tcW w:w="2880" w:type="dxa"/>
            <w:tcBorders>
              <w:bottom w:val="single" w:color="auto" w:sz="4" w:space="0"/>
            </w:tcBorders>
            <w:vAlign w:val="center"/>
          </w:tcPr>
          <w:p>
            <w:pPr>
              <w:ind w:firstLine="301" w:firstLineChars="100"/>
              <w:rPr>
                <w:rFonts w:eastAsia="楷体_GB2312"/>
                <w:b/>
                <w:sz w:val="30"/>
                <w:szCs w:val="30"/>
              </w:rPr>
            </w:pPr>
            <w:r>
              <w:rPr>
                <w:rFonts w:eastAsia="楷体_GB2312"/>
                <w:b/>
                <w:sz w:val="30"/>
                <w:szCs w:val="30"/>
              </w:rPr>
              <w:t xml:space="preserve">  博  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sym w:font="Wingdings 2" w:char="0052"/>
            </w:r>
            <w:r>
              <w:rPr>
                <w:rFonts w:eastAsia="楷体_GB2312"/>
                <w:b/>
                <w:sz w:val="30"/>
                <w:szCs w:val="30"/>
              </w:rPr>
              <w:t xml:space="preserve">  硕  士</w:t>
            </w:r>
          </w:p>
        </w:tc>
      </w:tr>
    </w:tbl>
    <w:p>
      <w:pPr>
        <w:rPr>
          <w:rFonts w:eastAsia="楷体_GB2312"/>
          <w:b/>
          <w:sz w:val="30"/>
          <w:szCs w:val="30"/>
        </w:rPr>
      </w:pPr>
    </w:p>
    <w:p>
      <w:pPr>
        <w:jc w:val="both"/>
        <w:rPr>
          <w:rFonts w:eastAsia="楷体_GB2312"/>
          <w:b/>
          <w:sz w:val="30"/>
          <w:szCs w:val="30"/>
        </w:rPr>
      </w:pPr>
    </w:p>
    <w:p>
      <w:pPr>
        <w:pStyle w:val="13"/>
      </w:pPr>
    </w:p>
    <w:p>
      <w:pPr>
        <w:pStyle w:val="13"/>
      </w:pPr>
    </w:p>
    <w:p>
      <w:pPr>
        <w:jc w:val="center"/>
        <w:rPr>
          <w:rFonts w:hint="eastAsia" w:eastAsia="楷体_GB2312"/>
          <w:b/>
          <w:szCs w:val="32"/>
          <w:lang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eastAsia="楷体_GB2312"/>
          <w:b/>
          <w:sz w:val="30"/>
          <w:szCs w:val="30"/>
        </w:rPr>
        <w:t>20</w:t>
      </w:r>
      <w:r>
        <w:rPr>
          <w:rFonts w:hint="eastAsia" w:eastAsia="楷体_GB2312"/>
          <w:b/>
          <w:sz w:val="30"/>
          <w:szCs w:val="30"/>
        </w:rPr>
        <w:t>2</w:t>
      </w:r>
      <w:r>
        <w:rPr>
          <w:rFonts w:hint="eastAsia" w:eastAsia="楷体_GB2312"/>
          <w:b/>
          <w:sz w:val="30"/>
          <w:szCs w:val="30"/>
          <w:lang w:val="en-US" w:eastAsia="zh-CN"/>
        </w:rPr>
        <w:t>3</w:t>
      </w:r>
      <w:r>
        <w:rPr>
          <w:rFonts w:eastAsia="楷体_GB2312"/>
          <w:b/>
          <w:sz w:val="30"/>
          <w:szCs w:val="30"/>
        </w:rPr>
        <w:t xml:space="preserve"> 年 2月 </w:t>
      </w:r>
      <w:r>
        <w:rPr>
          <w:rFonts w:hint="eastAsia" w:eastAsia="楷体_GB2312"/>
          <w:b/>
          <w:sz w:val="30"/>
          <w:szCs w:val="30"/>
        </w:rPr>
        <w:t>2</w:t>
      </w:r>
      <w:r>
        <w:rPr>
          <w:rFonts w:eastAsia="楷体_GB2312"/>
          <w:b/>
          <w:sz w:val="30"/>
          <w:szCs w:val="30"/>
        </w:rPr>
        <w:t xml:space="preserve">7 </w:t>
      </w:r>
      <w:r>
        <w:rPr>
          <w:rFonts w:hint="eastAsia" w:eastAsia="楷体_GB2312"/>
          <w:b/>
          <w:sz w:val="30"/>
          <w:szCs w:val="30"/>
          <w:lang w:eastAsia="zh-CN"/>
        </w:rPr>
        <w:t>日</w:t>
      </w:r>
    </w:p>
    <w:bookmarkEnd w:id="0"/>
    <w:bookmarkEnd w:id="1"/>
    <w:bookmarkEnd w:id="2"/>
    <w:p>
      <w:pPr>
        <w:spacing w:line="540" w:lineRule="exact"/>
        <w:rPr>
          <w:rFonts w:ascii="宋体" w:hAnsi="宋体" w:cs="宋体"/>
          <w:b/>
          <w:sz w:val="28"/>
          <w:szCs w:val="28"/>
        </w:rPr>
      </w:pPr>
    </w:p>
    <w:p>
      <w:pPr>
        <w:spacing w:after="156" w:afterLines="50" w:line="400" w:lineRule="exact"/>
        <w:jc w:val="center"/>
        <w:rPr>
          <w:rFonts w:eastAsia="楷体_GB2312"/>
          <w:b/>
          <w:sz w:val="36"/>
          <w:szCs w:val="36"/>
        </w:rPr>
      </w:pPr>
      <w:r>
        <w:rPr>
          <w:rFonts w:eastAsia="楷体_GB2312"/>
          <w:b/>
          <w:sz w:val="36"/>
          <w:szCs w:val="36"/>
        </w:rPr>
        <w:t>编 写 说 明</w:t>
      </w:r>
    </w:p>
    <w:p>
      <w:pPr>
        <w:spacing w:line="400" w:lineRule="exact"/>
        <w:ind w:firstLine="480" w:firstLineChars="200"/>
        <w:rPr>
          <w:rFonts w:eastAsia="仿宋_GB2312"/>
          <w:sz w:val="24"/>
        </w:rPr>
      </w:pPr>
      <w:r>
        <w:rPr>
          <w:rFonts w:eastAsia="仿宋_GB2312"/>
          <w:sz w:val="24"/>
        </w:rPr>
        <w:t>一、</w:t>
      </w:r>
      <w:r>
        <w:rPr>
          <w:rFonts w:hint="eastAsia" w:eastAsia="仿宋_GB2312"/>
          <w:sz w:val="24"/>
        </w:rPr>
        <w:t>编制</w:t>
      </w:r>
      <w:r>
        <w:rPr>
          <w:rFonts w:eastAsia="仿宋_GB2312"/>
          <w:sz w:val="24"/>
        </w:rPr>
        <w:t>本报告是</w:t>
      </w:r>
      <w:r>
        <w:rPr>
          <w:rFonts w:hint="eastAsia" w:eastAsia="仿宋_GB2312"/>
          <w:sz w:val="24"/>
        </w:rPr>
        <w:t>各学位授予单位自我评估的重要环节之一，贯穿自我评估全过程，应根据各学位授权点建设情况编制本单位的建设年度报告，脱密后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hint="eastAsia" w:eastAsia="仿宋_GB2312"/>
          <w:sz w:val="24"/>
        </w:rPr>
        <w:t>学位点建设存在的问题</w:t>
      </w:r>
      <w:r>
        <w:rPr>
          <w:rFonts w:eastAsia="仿宋_GB2312"/>
          <w:sz w:val="24"/>
        </w:rPr>
        <w:t>和</w:t>
      </w:r>
      <w:r>
        <w:rPr>
          <w:rFonts w:hint="eastAsia" w:eastAsia="仿宋_GB2312"/>
          <w:sz w:val="24"/>
        </w:rPr>
        <w:t>下一年度建设</w:t>
      </w:r>
      <w:r>
        <w:rPr>
          <w:rFonts w:eastAsia="仿宋_GB2312"/>
          <w:sz w:val="24"/>
        </w:rPr>
        <w:t>计划。</w:t>
      </w:r>
    </w:p>
    <w:p>
      <w:pPr>
        <w:spacing w:line="400" w:lineRule="exact"/>
        <w:ind w:firstLine="480" w:firstLineChars="20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pPr>
        <w:spacing w:line="400" w:lineRule="exact"/>
        <w:ind w:firstLine="488" w:firstLineChars="200"/>
        <w:rPr>
          <w:rFonts w:eastAsia="仿宋_GB2312"/>
          <w:sz w:val="24"/>
        </w:rPr>
      </w:pPr>
      <w:r>
        <w:rPr>
          <w:rFonts w:hint="eastAsia" w:eastAsia="仿宋_GB2312"/>
          <w:spacing w:val="2"/>
          <w:sz w:val="24"/>
          <w:lang w:eastAsia="zh-CN"/>
        </w:rPr>
        <w:t>三</w:t>
      </w:r>
      <w:r>
        <w:rPr>
          <w:rFonts w:eastAsia="仿宋_GB2312"/>
          <w:spacing w:val="2"/>
          <w:sz w:val="24"/>
        </w:rPr>
        <w:t>、本报告采取写实性描述，能用数据定量描述的，不得定性描述。定量数据除总量外，尽可能用师均、生均或比例描述。报告中所描述的内容和数据应确属本学位点，必须真实、</w:t>
      </w:r>
      <w:r>
        <w:rPr>
          <w:rFonts w:eastAsia="仿宋_GB2312"/>
          <w:sz w:val="24"/>
        </w:rPr>
        <w:t>准确，有据可查。</w:t>
      </w:r>
    </w:p>
    <w:p>
      <w:pPr>
        <w:spacing w:line="400" w:lineRule="exact"/>
        <w:ind w:firstLine="480" w:firstLineChars="200"/>
        <w:rPr>
          <w:rFonts w:eastAsia="仿宋_GB2312"/>
          <w:spacing w:val="2"/>
          <w:sz w:val="24"/>
        </w:rPr>
      </w:pPr>
      <w:r>
        <w:rPr>
          <w:rFonts w:hint="eastAsia" w:eastAsia="仿宋_GB2312"/>
          <w:sz w:val="24"/>
          <w:lang w:eastAsia="zh-CN"/>
        </w:rPr>
        <w:t>四</w:t>
      </w:r>
      <w:r>
        <w:rPr>
          <w:rFonts w:eastAsia="仿宋_GB2312"/>
          <w:sz w:val="24"/>
        </w:rPr>
        <w:t>、本报告的</w:t>
      </w:r>
      <w:r>
        <w:rPr>
          <w:rFonts w:eastAsia="仿宋_GB2312"/>
          <w:spacing w:val="2"/>
          <w:sz w:val="24"/>
        </w:rPr>
        <w:t>各项内容须是本学位点</w:t>
      </w:r>
      <w:r>
        <w:rPr>
          <w:rFonts w:hint="eastAsia" w:eastAsia="仿宋_GB2312"/>
          <w:spacing w:val="2"/>
          <w:sz w:val="24"/>
        </w:rPr>
        <w:t>合格评估每年度内</w:t>
      </w:r>
      <w:r>
        <w:rPr>
          <w:rFonts w:eastAsia="仿宋_GB2312"/>
          <w:spacing w:val="2"/>
          <w:sz w:val="24"/>
        </w:rPr>
        <w:t>的情况，统计时间</w:t>
      </w:r>
      <w:r>
        <w:rPr>
          <w:rFonts w:hint="eastAsia" w:eastAsia="仿宋_GB2312"/>
          <w:spacing w:val="2"/>
          <w:sz w:val="24"/>
        </w:rPr>
        <w:t>为当年的1月1日至当年的12月31日</w:t>
      </w:r>
      <w:r>
        <w:rPr>
          <w:rFonts w:eastAsia="仿宋_GB2312"/>
          <w:spacing w:val="2"/>
          <w:sz w:val="24"/>
        </w:rPr>
        <w:t>。</w:t>
      </w:r>
    </w:p>
    <w:p>
      <w:pPr>
        <w:spacing w:line="400" w:lineRule="exact"/>
        <w:ind w:firstLine="540" w:firstLineChars="225"/>
        <w:rPr>
          <w:rFonts w:eastAsia="仿宋_GB2312"/>
          <w:sz w:val="24"/>
        </w:rPr>
      </w:pPr>
      <w:r>
        <w:rPr>
          <w:rFonts w:hint="eastAsia" w:eastAsia="仿宋_GB2312"/>
          <w:sz w:val="24"/>
          <w:lang w:eastAsia="zh-CN"/>
        </w:rPr>
        <w:t>五</w:t>
      </w:r>
      <w:r>
        <w:rPr>
          <w:rFonts w:eastAsia="仿宋_GB2312"/>
          <w:sz w:val="24"/>
        </w:rPr>
        <w:t>、本报告所涉及的师资</w:t>
      </w:r>
      <w:r>
        <w:rPr>
          <w:rFonts w:hint="eastAsia" w:eastAsia="仿宋_GB2312"/>
          <w:sz w:val="24"/>
        </w:rPr>
        <w:t>内容应区分</w:t>
      </w:r>
      <w:r>
        <w:rPr>
          <w:rFonts w:eastAsia="仿宋_GB2312"/>
          <w:sz w:val="24"/>
        </w:rPr>
        <w:t>目前人事关系隶属本单位的专职人员</w:t>
      </w:r>
      <w:r>
        <w:rPr>
          <w:rFonts w:hint="eastAsia" w:eastAsia="仿宋_GB2312"/>
          <w:sz w:val="24"/>
        </w:rPr>
        <w:t>和兼职导师</w:t>
      </w:r>
      <w:r>
        <w:rPr>
          <w:rFonts w:eastAsia="仿宋_GB2312"/>
          <w:sz w:val="24"/>
        </w:rPr>
        <w:t>（同一人员原则上不得在不同学术学位点或不同专业学位点重复</w:t>
      </w:r>
      <w:r>
        <w:rPr>
          <w:rFonts w:hint="eastAsia" w:eastAsia="仿宋_GB2312"/>
          <w:sz w:val="24"/>
        </w:rPr>
        <w:t>统计或</w:t>
      </w:r>
      <w:r>
        <w:rPr>
          <w:rFonts w:eastAsia="仿宋_GB2312"/>
          <w:sz w:val="24"/>
        </w:rPr>
        <w:t>填写）。</w:t>
      </w:r>
    </w:p>
    <w:p>
      <w:pPr>
        <w:spacing w:line="400" w:lineRule="exact"/>
        <w:ind w:firstLine="540" w:firstLineChars="225"/>
        <w:rPr>
          <w:rFonts w:eastAsia="仿宋_GB2312"/>
          <w:sz w:val="24"/>
        </w:rPr>
      </w:pPr>
      <w:r>
        <w:rPr>
          <w:rFonts w:hint="eastAsia" w:eastAsia="仿宋_GB2312"/>
          <w:sz w:val="24"/>
          <w:lang w:eastAsia="zh-CN"/>
        </w:rPr>
        <w:t>六</w:t>
      </w:r>
      <w:r>
        <w:rPr>
          <w:rFonts w:eastAsia="仿宋_GB2312"/>
          <w:sz w:val="24"/>
        </w:rPr>
        <w:t>、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spacing w:line="400" w:lineRule="exact"/>
        <w:ind w:firstLine="480" w:firstLineChars="200"/>
        <w:rPr>
          <w:rFonts w:eastAsia="仿宋_GB2312"/>
          <w:spacing w:val="2"/>
          <w:sz w:val="24"/>
        </w:rPr>
      </w:pPr>
      <w:r>
        <w:rPr>
          <w:rFonts w:hint="eastAsia" w:eastAsia="仿宋_GB2312"/>
          <w:sz w:val="24"/>
          <w:lang w:eastAsia="zh-CN"/>
        </w:rPr>
        <w:t>七</w:t>
      </w:r>
      <w:r>
        <w:rPr>
          <w:rFonts w:eastAsia="仿宋_GB2312"/>
          <w:sz w:val="24"/>
        </w:rPr>
        <w:t>、</w:t>
      </w:r>
      <w:r>
        <w:rPr>
          <w:rFonts w:eastAsia="仿宋_GB2312"/>
          <w:spacing w:val="2"/>
          <w:sz w:val="24"/>
        </w:rPr>
        <w:t>涉及国家机密的内容一律按国家有关保密规定进行脱密处理后编写。</w:t>
      </w:r>
    </w:p>
    <w:p>
      <w:pPr>
        <w:spacing w:line="400" w:lineRule="exact"/>
        <w:ind w:firstLine="488" w:firstLineChars="200"/>
        <w:rPr>
          <w:rFonts w:ascii="宋体" w:hAnsi="宋体" w:cs="宋体"/>
          <w:b/>
          <w:sz w:val="28"/>
          <w:szCs w:val="28"/>
        </w:rPr>
      </w:pPr>
      <w:r>
        <w:rPr>
          <w:rFonts w:hint="eastAsia" w:eastAsia="仿宋_GB2312"/>
          <w:spacing w:val="2"/>
          <w:sz w:val="24"/>
          <w:lang w:eastAsia="zh-CN"/>
        </w:rPr>
        <w:t>八</w:t>
      </w:r>
      <w:r>
        <w:rPr>
          <w:rFonts w:eastAsia="仿宋_GB2312"/>
          <w:spacing w:val="2"/>
          <w:sz w:val="24"/>
        </w:rPr>
        <w:t>、本报告文字使用四号宋体，纸张限用A4。</w:t>
      </w:r>
    </w:p>
    <w:p>
      <w:pPr>
        <w:spacing w:line="360" w:lineRule="auto"/>
        <w:rPr>
          <w:rFonts w:ascii="黑体" w:hAnsi="黑体" w:eastAsia="黑体" w:cs="黑体"/>
          <w:bCs/>
          <w:sz w:val="28"/>
          <w:szCs w:val="28"/>
        </w:rPr>
      </w:pPr>
    </w:p>
    <w:p>
      <w:pPr>
        <w:pStyle w:val="13"/>
        <w:rPr>
          <w:rFonts w:ascii="黑体" w:hAnsi="黑体" w:eastAsia="黑体" w:cs="黑体"/>
          <w:bCs/>
          <w:sz w:val="28"/>
          <w:szCs w:val="28"/>
        </w:rPr>
      </w:pPr>
    </w:p>
    <w:p>
      <w:pPr>
        <w:pStyle w:val="13"/>
        <w:rPr>
          <w:rFonts w:ascii="黑体" w:hAnsi="黑体" w:eastAsia="黑体" w:cs="黑体"/>
          <w:bCs/>
          <w:sz w:val="28"/>
          <w:szCs w:val="28"/>
        </w:rPr>
      </w:pPr>
    </w:p>
    <w:p>
      <w:pPr>
        <w:pStyle w:val="13"/>
        <w:rPr>
          <w:rFonts w:ascii="黑体" w:hAnsi="黑体" w:eastAsia="黑体" w:cs="黑体"/>
          <w:bCs/>
          <w:sz w:val="28"/>
          <w:szCs w:val="28"/>
        </w:rPr>
      </w:pPr>
    </w:p>
    <w:p>
      <w:pPr>
        <w:pStyle w:val="13"/>
        <w:rPr>
          <w:rFonts w:ascii="黑体" w:hAnsi="黑体" w:eastAsia="黑体" w:cs="黑体"/>
          <w:bCs/>
          <w:sz w:val="28"/>
          <w:szCs w:val="28"/>
        </w:rPr>
      </w:pPr>
    </w:p>
    <w:p>
      <w:pPr>
        <w:pStyle w:val="13"/>
        <w:rPr>
          <w:rFonts w:ascii="黑体" w:hAnsi="黑体" w:eastAsia="黑体" w:cs="黑体"/>
          <w:bCs/>
          <w:sz w:val="28"/>
          <w:szCs w:val="28"/>
        </w:rPr>
      </w:pPr>
    </w:p>
    <w:p>
      <w:pPr>
        <w:pStyle w:val="13"/>
        <w:rPr>
          <w:rFonts w:ascii="黑体" w:hAnsi="黑体" w:eastAsia="黑体" w:cs="黑体"/>
          <w:bCs/>
          <w:sz w:val="28"/>
          <w:szCs w:val="28"/>
        </w:rPr>
      </w:pPr>
    </w:p>
    <w:p>
      <w:pPr>
        <w:rPr>
          <w:rFonts w:hint="eastAsia" w:ascii="黑体" w:hAnsi="黑体" w:eastAsia="黑体" w:cs="黑体"/>
          <w:sz w:val="32"/>
          <w:szCs w:val="32"/>
        </w:rPr>
      </w:pPr>
      <w:r>
        <w:rPr>
          <w:rFonts w:hint="eastAsia" w:ascii="黑体" w:hAnsi="黑体" w:eastAsia="黑体" w:cs="黑体"/>
          <w:bCs/>
          <w:sz w:val="32"/>
          <w:szCs w:val="32"/>
        </w:rPr>
        <w:t>一、学位授权点基本情况</w:t>
      </w:r>
    </w:p>
    <w:p>
      <w:pPr>
        <w:pStyle w:val="8"/>
        <w:widowControl/>
        <w:spacing w:beforeAutospacing="0" w:afterAutospacing="0" w:line="360" w:lineRule="auto"/>
        <w:ind w:firstLine="643" w:firstLineChars="200"/>
        <w:rPr>
          <w:rFonts w:hint="eastAsia" w:ascii="仿宋" w:hAnsi="仿宋" w:eastAsia="仿宋" w:cs="仿宋"/>
          <w:b/>
          <w:bCs/>
          <w:kern w:val="2"/>
          <w:sz w:val="32"/>
          <w:szCs w:val="32"/>
          <w:lang w:eastAsia="zh-CN"/>
        </w:rPr>
      </w:pPr>
      <w:r>
        <w:rPr>
          <w:rFonts w:hint="eastAsia" w:ascii="仿宋" w:hAnsi="仿宋" w:eastAsia="仿宋" w:cs="仿宋"/>
          <w:b/>
          <w:bCs/>
          <w:kern w:val="2"/>
          <w:sz w:val="32"/>
          <w:szCs w:val="32"/>
        </w:rPr>
        <w:t>（一）学科</w:t>
      </w:r>
      <w:r>
        <w:rPr>
          <w:rFonts w:hint="eastAsia" w:ascii="仿宋" w:hAnsi="仿宋" w:eastAsia="仿宋" w:cs="仿宋"/>
          <w:b/>
          <w:bCs/>
          <w:kern w:val="2"/>
          <w:sz w:val="32"/>
          <w:szCs w:val="32"/>
          <w:lang w:eastAsia="zh-CN"/>
        </w:rPr>
        <w:t>基本情况</w:t>
      </w:r>
    </w:p>
    <w:p>
      <w:pPr>
        <w:spacing w:line="500" w:lineRule="exact"/>
        <w:ind w:firstLine="640" w:firstLineChars="200"/>
        <w:jc w:val="left"/>
        <w:rPr>
          <w:rFonts w:hint="eastAsia" w:ascii="宋体" w:hAnsi="宋体" w:cs="宋体"/>
          <w:b/>
          <w:bCs/>
          <w:kern w:val="2"/>
          <w:lang w:eastAsia="zh-CN"/>
        </w:rPr>
      </w:pPr>
      <w:r>
        <w:rPr>
          <w:rFonts w:hint="eastAsia" w:ascii="仿宋" w:hAnsi="仿宋" w:eastAsia="仿宋" w:cs="仿宋"/>
          <w:sz w:val="32"/>
          <w:szCs w:val="32"/>
        </w:rPr>
        <w:t>西安体育学院是西北地区唯一一所体育学科专业齐全的体育高等学校。体育学学科发展与学校创建同生共长，至今已七十余载。本学科始终坚持立足陕西、服务西北，立足体育、服务社会，共培养体育人才五万余人，形成了独特的办学特色。1979年开始招收培养体育学硕士研究生，1986 年获批体育学硕士学位授权点，现有体育学一级学科硕士学位授权点，下设有7 个二级学科专业授权点，有1 个专业学位硕士授权点（体育硕士），体育学为陕西省“国内一流学科建设高校”建设学科。</w:t>
      </w:r>
    </w:p>
    <w:p>
      <w:pPr>
        <w:pStyle w:val="8"/>
        <w:widowControl/>
        <w:spacing w:beforeAutospacing="0" w:afterAutospacing="0" w:line="360" w:lineRule="auto"/>
        <w:ind w:firstLine="643" w:firstLineChars="200"/>
        <w:rPr>
          <w:rFonts w:hint="eastAsia" w:ascii="仿宋" w:hAnsi="仿宋" w:eastAsia="仿宋" w:cs="仿宋"/>
          <w:b/>
          <w:bCs/>
          <w:kern w:val="2"/>
          <w:sz w:val="32"/>
          <w:szCs w:val="32"/>
          <w:lang w:eastAsia="zh-CN"/>
        </w:rPr>
      </w:pPr>
      <w:r>
        <w:rPr>
          <w:rFonts w:hint="eastAsia" w:ascii="仿宋" w:hAnsi="仿宋" w:eastAsia="仿宋" w:cs="仿宋"/>
          <w:b/>
          <w:bCs/>
          <w:kern w:val="2"/>
          <w:sz w:val="32"/>
          <w:szCs w:val="32"/>
          <w:lang w:val="en-US" w:eastAsia="zh-CN"/>
        </w:rPr>
        <w:t>（二）</w:t>
      </w:r>
      <w:r>
        <w:rPr>
          <w:rFonts w:hint="eastAsia" w:ascii="仿宋" w:hAnsi="仿宋" w:eastAsia="仿宋" w:cs="仿宋"/>
          <w:b/>
          <w:bCs/>
          <w:kern w:val="2"/>
          <w:sz w:val="32"/>
          <w:szCs w:val="32"/>
        </w:rPr>
        <w:t>学科方向</w:t>
      </w:r>
      <w:r>
        <w:rPr>
          <w:rFonts w:hint="eastAsia" w:ascii="仿宋" w:hAnsi="仿宋" w:eastAsia="仿宋" w:cs="仿宋"/>
          <w:b/>
          <w:bCs/>
          <w:kern w:val="2"/>
          <w:sz w:val="32"/>
          <w:szCs w:val="32"/>
          <w:lang w:eastAsia="zh-CN"/>
        </w:rPr>
        <w:t>与优势特色</w:t>
      </w:r>
    </w:p>
    <w:p>
      <w:pPr>
        <w:spacing w:line="500" w:lineRule="exact"/>
        <w:ind w:firstLine="640" w:firstLineChars="200"/>
        <w:jc w:val="left"/>
        <w:rPr>
          <w:rFonts w:hint="eastAsia" w:ascii="仿宋" w:hAnsi="仿宋" w:eastAsia="仿宋" w:cs="仿宋"/>
          <w:b/>
          <w:bCs/>
          <w:kern w:val="2"/>
          <w:sz w:val="32"/>
          <w:szCs w:val="32"/>
          <w:lang w:val="en-US" w:eastAsia="zh-CN"/>
        </w:rPr>
      </w:pPr>
      <w:r>
        <w:rPr>
          <w:rFonts w:hint="eastAsia" w:ascii="仿宋" w:hAnsi="仿宋" w:eastAsia="仿宋" w:cs="仿宋"/>
          <w:sz w:val="32"/>
          <w:szCs w:val="32"/>
        </w:rPr>
        <w:t>本学科设有体育人文社会学、体育教育训练学、运动人体科学和民族传统体育学四个学科方向。优势特色：一是师资队伍实力强。其中有国家级人才称号 15 人，省级人才称号 30 人，省级科研团队 3 个，正高职称 61 人，副高职称 118 人；二是教学水平高。本学科拥有 1 门国家一流课程、1门国家精品资源共享课程，4 门省级一流课程，7 个省级教学团队；三是科研成果优。获得立项国家社科项目 11 项，其他省部级课题 100 余项，承担了国家社科重大项目、科技部重点项目立项，获得教育部认为社会科学研究优秀成果奖励三等奖，出版专著 13 部。四是人才培养质量高。获得各类竞赛金牌近 1000枚，学科育人优势特色显著。</w:t>
      </w:r>
    </w:p>
    <w:p>
      <w:pPr>
        <w:pStyle w:val="8"/>
        <w:widowControl/>
        <w:spacing w:beforeAutospacing="0" w:afterAutospacing="0" w:line="360" w:lineRule="auto"/>
        <w:ind w:firstLine="643" w:firstLineChars="200"/>
        <w:rPr>
          <w:rFonts w:hint="eastAsia" w:ascii="仿宋" w:hAnsi="仿宋" w:eastAsia="仿宋" w:cs="仿宋"/>
          <w:b/>
          <w:bCs/>
          <w:kern w:val="2"/>
          <w:sz w:val="32"/>
          <w:szCs w:val="32"/>
          <w:lang w:val="en-US" w:eastAsia="zh-CN"/>
        </w:rPr>
      </w:pPr>
      <w:r>
        <w:rPr>
          <w:rFonts w:hint="eastAsia" w:ascii="仿宋" w:hAnsi="仿宋" w:eastAsia="仿宋" w:cs="仿宋"/>
          <w:b/>
          <w:bCs/>
          <w:kern w:val="2"/>
          <w:sz w:val="32"/>
          <w:szCs w:val="32"/>
          <w:lang w:val="en-US" w:eastAsia="zh-CN"/>
        </w:rPr>
        <w:t>（三）人才培养目标</w:t>
      </w:r>
    </w:p>
    <w:p>
      <w:pPr>
        <w:pStyle w:val="8"/>
        <w:widowControl/>
        <w:numPr>
          <w:ilvl w:val="0"/>
          <w:numId w:val="0"/>
        </w:numPr>
        <w:spacing w:beforeAutospacing="0" w:afterAutospacing="0" w:line="360" w:lineRule="auto"/>
        <w:jc w:val="left"/>
        <w:rPr>
          <w:rFonts w:hint="eastAsia" w:ascii="宋体" w:hAnsi="宋体" w:cs="宋体"/>
          <w:b/>
          <w:bCs/>
          <w:kern w:val="2"/>
          <w:sz w:val="32"/>
          <w:szCs w:val="32"/>
          <w:lang w:eastAsia="zh-CN"/>
        </w:rPr>
      </w:pPr>
      <w:r>
        <w:rPr>
          <w:rFonts w:hint="eastAsia" w:ascii="仿宋" w:hAnsi="仿宋" w:eastAsia="仿宋" w:cs="仿宋"/>
          <w:sz w:val="32"/>
          <w:szCs w:val="32"/>
        </w:rPr>
        <w:t>旨在培养热爱祖国，拥护中国共产党的领导，拥护社会主义制度，适应区域经济社会和体育事业发展需求，掌握体育学基础理论和系统专业知识，具有创新精神、创新能力和实践能力，从事教学、训练、科研和管理等工作的德智体美劳全面发展的高层次应用型专门人才。</w:t>
      </w:r>
    </w:p>
    <w:p>
      <w:pPr>
        <w:pStyle w:val="8"/>
        <w:widowControl/>
        <w:spacing w:beforeAutospacing="0" w:afterAutospacing="0" w:line="360" w:lineRule="auto"/>
        <w:ind w:firstLine="643" w:firstLineChars="200"/>
        <w:rPr>
          <w:rFonts w:hint="eastAsia" w:ascii="仿宋" w:hAnsi="仿宋" w:eastAsia="仿宋" w:cs="仿宋"/>
          <w:b/>
          <w:bCs/>
          <w:kern w:val="2"/>
          <w:sz w:val="32"/>
          <w:szCs w:val="32"/>
          <w:lang w:val="en-US" w:eastAsia="zh-CN"/>
        </w:rPr>
      </w:pPr>
      <w:r>
        <w:rPr>
          <w:rFonts w:hint="eastAsia" w:ascii="仿宋" w:hAnsi="仿宋" w:eastAsia="仿宋" w:cs="仿宋"/>
          <w:b/>
          <w:bCs/>
          <w:kern w:val="2"/>
          <w:sz w:val="32"/>
          <w:szCs w:val="32"/>
          <w:lang w:val="en-US" w:eastAsia="zh-CN"/>
        </w:rPr>
        <w:t>（四）平台建设和主要成果</w:t>
      </w:r>
    </w:p>
    <w:p>
      <w:pPr>
        <w:numPr>
          <w:ilvl w:val="0"/>
          <w:numId w:val="1"/>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教学科研支撑</w:t>
      </w:r>
    </w:p>
    <w:tbl>
      <w:tblPr>
        <w:tblStyle w:val="9"/>
        <w:tblW w:w="561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1753"/>
        <w:gridCol w:w="2162"/>
        <w:gridCol w:w="54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88" w:type="pct"/>
            <w:vAlign w:val="center"/>
          </w:tcPr>
          <w:p>
            <w:pPr>
              <w:spacing w:line="360" w:lineRule="auto"/>
              <w:rPr>
                <w:rFonts w:hint="eastAsia" w:ascii="仿宋" w:hAnsi="仿宋" w:eastAsia="仿宋" w:cs="仿宋"/>
                <w:sz w:val="32"/>
                <w:szCs w:val="32"/>
              </w:rPr>
            </w:pPr>
            <w:r>
              <w:rPr>
                <w:rFonts w:hint="eastAsia" w:ascii="仿宋" w:hAnsi="仿宋" w:eastAsia="仿宋" w:cs="仿宋"/>
                <w:sz w:val="32"/>
                <w:szCs w:val="32"/>
              </w:rPr>
              <w:t>序号</w:t>
            </w:r>
          </w:p>
        </w:tc>
        <w:tc>
          <w:tcPr>
            <w:tcW w:w="844" w:type="pct"/>
            <w:vAlign w:val="center"/>
          </w:tcPr>
          <w:p>
            <w:pPr>
              <w:spacing w:line="360" w:lineRule="auto"/>
              <w:rPr>
                <w:rFonts w:hint="eastAsia" w:ascii="仿宋" w:hAnsi="仿宋" w:eastAsia="仿宋" w:cs="仿宋"/>
                <w:sz w:val="32"/>
                <w:szCs w:val="32"/>
              </w:rPr>
            </w:pPr>
            <w:r>
              <w:rPr>
                <w:rFonts w:hint="eastAsia" w:ascii="仿宋" w:hAnsi="仿宋" w:eastAsia="仿宋" w:cs="仿宋"/>
                <w:sz w:val="32"/>
                <w:szCs w:val="32"/>
              </w:rPr>
              <w:t>平台名称</w:t>
            </w:r>
          </w:p>
        </w:tc>
        <w:tc>
          <w:tcPr>
            <w:tcW w:w="1041" w:type="pct"/>
            <w:vAlign w:val="center"/>
          </w:tcPr>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平台类别</w:t>
            </w:r>
          </w:p>
        </w:tc>
        <w:tc>
          <w:tcPr>
            <w:tcW w:w="2625" w:type="pct"/>
            <w:vAlign w:val="center"/>
          </w:tcPr>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对人才培养支撑作用（</w:t>
            </w:r>
            <w:r>
              <w:rPr>
                <w:rFonts w:hint="eastAsia" w:ascii="仿宋" w:hAnsi="仿宋" w:eastAsia="仿宋" w:cs="仿宋"/>
                <w:sz w:val="32"/>
                <w:szCs w:val="32"/>
                <w:lang w:val="en-US" w:eastAsia="zh-CN"/>
              </w:rPr>
              <w:t>100字内</w:t>
            </w:r>
            <w:r>
              <w:rPr>
                <w:rFonts w:hint="eastAsia" w:ascii="仿宋" w:hAnsi="仿宋" w:eastAsia="仿宋" w:cs="仿宋"/>
                <w:sz w:val="32"/>
                <w:szCs w:val="3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88" w:type="pct"/>
            <w:vAlign w:val="center"/>
          </w:tcPr>
          <w:p>
            <w:pPr>
              <w:spacing w:line="360" w:lineRule="auto"/>
              <w:rPr>
                <w:rFonts w:hint="eastAsia" w:ascii="仿宋" w:hAnsi="仿宋" w:eastAsia="仿宋" w:cs="仿宋"/>
                <w:sz w:val="32"/>
                <w:szCs w:val="32"/>
              </w:rPr>
            </w:pPr>
            <w:r>
              <w:rPr>
                <w:rFonts w:hint="eastAsia" w:ascii="仿宋" w:hAnsi="仿宋" w:eastAsia="仿宋" w:cs="仿宋"/>
                <w:sz w:val="32"/>
                <w:szCs w:val="32"/>
              </w:rPr>
              <w:t>1</w:t>
            </w:r>
          </w:p>
        </w:tc>
        <w:tc>
          <w:tcPr>
            <w:tcW w:w="844"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陕西省高校体育法学研究基地</w:t>
            </w:r>
          </w:p>
        </w:tc>
        <w:tc>
          <w:tcPr>
            <w:tcW w:w="1041"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省部级平台</w:t>
            </w:r>
          </w:p>
        </w:tc>
        <w:tc>
          <w:tcPr>
            <w:tcW w:w="2625"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陕西省教育厅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88" w:type="pct"/>
            <w:vAlign w:val="center"/>
          </w:tcPr>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p>
        </w:tc>
        <w:tc>
          <w:tcPr>
            <w:tcW w:w="844"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国家体育总局体育社会科学重点研究基地</w:t>
            </w:r>
          </w:p>
        </w:tc>
        <w:tc>
          <w:tcPr>
            <w:tcW w:w="1041"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省部级平台</w:t>
            </w:r>
          </w:p>
        </w:tc>
        <w:tc>
          <w:tcPr>
            <w:tcW w:w="2625"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88" w:type="pct"/>
            <w:vAlign w:val="center"/>
          </w:tcPr>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p>
        </w:tc>
        <w:tc>
          <w:tcPr>
            <w:tcW w:w="844"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国家体育总局体育文化中心基地</w:t>
            </w:r>
          </w:p>
        </w:tc>
        <w:tc>
          <w:tcPr>
            <w:tcW w:w="1041"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省部级平台</w:t>
            </w:r>
          </w:p>
        </w:tc>
        <w:tc>
          <w:tcPr>
            <w:tcW w:w="2625"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88" w:type="pct"/>
            <w:vAlign w:val="center"/>
          </w:tcPr>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p>
        </w:tc>
        <w:tc>
          <w:tcPr>
            <w:tcW w:w="844"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国家体育总局运动技术分析重点实验室</w:t>
            </w:r>
          </w:p>
        </w:tc>
        <w:tc>
          <w:tcPr>
            <w:tcW w:w="1041"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省部级平台</w:t>
            </w:r>
          </w:p>
        </w:tc>
        <w:tc>
          <w:tcPr>
            <w:tcW w:w="2625"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88" w:type="pct"/>
            <w:vAlign w:val="center"/>
          </w:tcPr>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p>
        </w:tc>
        <w:tc>
          <w:tcPr>
            <w:tcW w:w="844"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陕西省体育产业研发中心</w:t>
            </w:r>
          </w:p>
        </w:tc>
        <w:tc>
          <w:tcPr>
            <w:tcW w:w="1041"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厅局级平台</w:t>
            </w:r>
          </w:p>
        </w:tc>
        <w:tc>
          <w:tcPr>
            <w:tcW w:w="2625"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陕西省体育局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88" w:type="pct"/>
            <w:vAlign w:val="center"/>
          </w:tcPr>
          <w:p>
            <w:pPr>
              <w:spacing w:line="36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844"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陕西省全民健身与健康研究院</w:t>
            </w:r>
          </w:p>
        </w:tc>
        <w:tc>
          <w:tcPr>
            <w:tcW w:w="1041"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厅局级平台</w:t>
            </w:r>
          </w:p>
        </w:tc>
        <w:tc>
          <w:tcPr>
            <w:tcW w:w="2625"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陕西省体育局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88" w:type="pct"/>
            <w:vAlign w:val="center"/>
          </w:tcPr>
          <w:p>
            <w:pPr>
              <w:spacing w:line="36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844"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陕西省公众科学素养与运动健康研究中心</w:t>
            </w:r>
          </w:p>
        </w:tc>
        <w:tc>
          <w:tcPr>
            <w:tcW w:w="1041"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省部级平台</w:t>
            </w:r>
          </w:p>
        </w:tc>
        <w:tc>
          <w:tcPr>
            <w:tcW w:w="2625"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陕西省科技厅、陕西省科协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0" w:type="auto"/>
          </w:tcPr>
          <w:p>
            <w:pPr>
              <w:spacing w:line="36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0" w:type="auto"/>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青少年体育与健康促进研究中心</w:t>
            </w:r>
          </w:p>
        </w:tc>
        <w:tc>
          <w:tcPr>
            <w:tcW w:w="1041"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校级平台</w:t>
            </w:r>
          </w:p>
        </w:tc>
        <w:tc>
          <w:tcPr>
            <w:tcW w:w="2625"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西安体育学院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0" w:type="auto"/>
          </w:tcPr>
          <w:p>
            <w:pPr>
              <w:spacing w:line="360" w:lineRule="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0" w:type="auto"/>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rPr>
              <w:t>体能训练研究中心</w:t>
            </w:r>
          </w:p>
        </w:tc>
        <w:tc>
          <w:tcPr>
            <w:tcW w:w="1041"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校级平台</w:t>
            </w:r>
          </w:p>
        </w:tc>
        <w:tc>
          <w:tcPr>
            <w:tcW w:w="2625"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西安体育学院</w:t>
            </w:r>
          </w:p>
        </w:tc>
      </w:tr>
    </w:tbl>
    <w:p>
      <w:pPr>
        <w:spacing w:line="360" w:lineRule="auto"/>
        <w:jc w:val="left"/>
        <w:rPr>
          <w:rFonts w:ascii="宋体" w:hAnsi="宋体" w:cs="宋体"/>
          <w:sz w:val="24"/>
        </w:rPr>
      </w:pPr>
    </w:p>
    <w:p>
      <w:pPr>
        <w:rPr>
          <w:rFonts w:hint="eastAsia" w:ascii="黑体" w:hAnsi="黑体" w:eastAsia="黑体" w:cs="黑体"/>
          <w:bCs/>
          <w:sz w:val="32"/>
          <w:szCs w:val="32"/>
          <w:lang w:eastAsia="zh-CN"/>
        </w:rPr>
      </w:pPr>
      <w:r>
        <w:rPr>
          <w:rFonts w:ascii="黑体" w:hAnsi="黑体" w:eastAsia="黑体" w:cs="黑体"/>
          <w:bCs/>
          <w:sz w:val="32"/>
          <w:szCs w:val="32"/>
        </w:rPr>
        <w:t>二、人才培养</w:t>
      </w:r>
    </w:p>
    <w:p>
      <w:pPr>
        <w:pStyle w:val="8"/>
        <w:widowControl/>
        <w:numPr>
          <w:ilvl w:val="0"/>
          <w:numId w:val="0"/>
        </w:numPr>
        <w:spacing w:beforeAutospacing="0" w:afterAutospacing="0" w:line="360" w:lineRule="auto"/>
        <w:ind w:firstLine="643" w:firstLineChars="200"/>
        <w:rPr>
          <w:rFonts w:ascii="宋体" w:hAnsi="宋体" w:cs="宋体"/>
          <w:b/>
          <w:bCs/>
          <w:kern w:val="2"/>
        </w:rPr>
      </w:pPr>
      <w:r>
        <w:rPr>
          <w:rFonts w:hint="eastAsia" w:ascii="仿宋" w:hAnsi="仿宋" w:eastAsia="仿宋" w:cs="仿宋"/>
          <w:b/>
          <w:bCs/>
          <w:kern w:val="2"/>
          <w:sz w:val="32"/>
          <w:szCs w:val="32"/>
          <w:lang w:val="en-US" w:eastAsia="zh-CN"/>
        </w:rPr>
        <w:t>（一）研究生主要课程开设情况</w:t>
      </w:r>
    </w:p>
    <w:p>
      <w:pPr>
        <w:pStyle w:val="8"/>
        <w:widowControl/>
        <w:spacing w:beforeAutospacing="0" w:afterAutospacing="0" w:line="360" w:lineRule="auto"/>
        <w:ind w:left="319" w:leftChars="152" w:firstLine="640" w:firstLineChars="200"/>
        <w:rPr>
          <w:rFonts w:ascii="黑体" w:hAnsi="黑体" w:eastAsia="黑体" w:cs="黑体"/>
          <w:bCs/>
          <w:sz w:val="28"/>
          <w:szCs w:val="28"/>
        </w:rPr>
      </w:pPr>
      <w:r>
        <w:rPr>
          <w:rFonts w:hint="eastAsia" w:ascii="仿宋" w:hAnsi="仿宋" w:eastAsia="仿宋" w:cs="仿宋"/>
          <w:b w:val="0"/>
          <w:bCs w:val="0"/>
          <w:kern w:val="2"/>
          <w:sz w:val="32"/>
          <w:szCs w:val="32"/>
        </w:rPr>
        <w:t>1.内容：课程应该是在统计时间段内实际开设过或者正在开设的课程。不含全校公共课，限填20门。</w:t>
      </w:r>
      <w:r>
        <w:rPr>
          <w:rFonts w:hint="eastAsia" w:ascii="仿宋" w:hAnsi="仿宋" w:eastAsia="仿宋" w:cs="仿宋"/>
          <w:b w:val="0"/>
          <w:bCs w:val="0"/>
          <w:kern w:val="2"/>
          <w:sz w:val="32"/>
          <w:szCs w:val="32"/>
        </w:rPr>
        <w:br w:type="textWrapping"/>
      </w:r>
      <w:r>
        <w:rPr>
          <w:rFonts w:hint="eastAsia" w:ascii="仿宋" w:hAnsi="仿宋" w:eastAsia="仿宋" w:cs="仿宋"/>
          <w:b w:val="0"/>
          <w:bCs w:val="0"/>
          <w:kern w:val="2"/>
          <w:sz w:val="32"/>
          <w:szCs w:val="32"/>
          <w:lang w:val="en-US" w:eastAsia="zh-CN"/>
        </w:rPr>
        <w:t xml:space="preserve">    </w:t>
      </w:r>
      <w:r>
        <w:rPr>
          <w:rFonts w:hint="eastAsia" w:ascii="仿宋" w:hAnsi="仿宋" w:eastAsia="仿宋" w:cs="仿宋"/>
          <w:b w:val="0"/>
          <w:bCs w:val="0"/>
          <w:kern w:val="2"/>
          <w:sz w:val="32"/>
          <w:szCs w:val="32"/>
        </w:rPr>
        <w:t>2.课程类型：必修课或选修课</w:t>
      </w:r>
      <w:bookmarkStart w:id="9" w:name="_GoBack"/>
      <w:bookmarkEnd w:id="9"/>
    </w:p>
    <w:tbl>
      <w:tblPr>
        <w:tblStyle w:val="9"/>
        <w:tblpPr w:leftFromText="180" w:rightFromText="180" w:vertAnchor="text" w:horzAnchor="page" w:tblpX="848" w:tblpY="816"/>
        <w:tblOverlap w:val="never"/>
        <w:tblW w:w="104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6"/>
        <w:gridCol w:w="1356"/>
        <w:gridCol w:w="1680"/>
        <w:gridCol w:w="1020"/>
        <w:gridCol w:w="1369"/>
        <w:gridCol w:w="2531"/>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trPr>
        <w:tc>
          <w:tcPr>
            <w:tcW w:w="936" w:type="dxa"/>
            <w:tcBorders>
              <w:top w:val="single" w:color="000000" w:sz="8" w:space="0"/>
              <w:left w:val="single" w:color="000000" w:sz="8" w:space="0"/>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序号</w:t>
            </w:r>
          </w:p>
        </w:tc>
        <w:tc>
          <w:tcPr>
            <w:tcW w:w="1356"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课程名称</w:t>
            </w:r>
          </w:p>
        </w:tc>
        <w:tc>
          <w:tcPr>
            <w:tcW w:w="1680"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课程类型</w:t>
            </w:r>
          </w:p>
        </w:tc>
        <w:tc>
          <w:tcPr>
            <w:tcW w:w="1020"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学分</w:t>
            </w:r>
          </w:p>
        </w:tc>
        <w:tc>
          <w:tcPr>
            <w:tcW w:w="1369"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授课教师</w:t>
            </w:r>
          </w:p>
        </w:tc>
        <w:tc>
          <w:tcPr>
            <w:tcW w:w="2531"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课程简介（不超过100字）</w:t>
            </w:r>
          </w:p>
        </w:tc>
        <w:tc>
          <w:tcPr>
            <w:tcW w:w="1512"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授课语言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936"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35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学术规范与论文写作指导</w:t>
            </w:r>
          </w:p>
        </w:tc>
        <w:tc>
          <w:tcPr>
            <w:tcW w:w="16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必修课</w:t>
            </w:r>
          </w:p>
        </w:tc>
        <w:tc>
          <w:tcPr>
            <w:tcW w:w="10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1</w:t>
            </w:r>
          </w:p>
        </w:tc>
        <w:tc>
          <w:tcPr>
            <w:tcW w:w="136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刘新民</w:t>
            </w:r>
          </w:p>
        </w:tc>
        <w:tc>
          <w:tcPr>
            <w:tcW w:w="25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课程主要包括学术规范与学术道德，对做学术的整个过程作原则性的说明，对学术论文的质量要求、字数、准备周期等整体要求进行介绍，对选题、开题报告、资料收集、参考文献及论文结构和撰写方法进行介绍。</w:t>
            </w:r>
          </w:p>
        </w:tc>
        <w:tc>
          <w:tcPr>
            <w:tcW w:w="15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936"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35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体育原理</w:t>
            </w:r>
          </w:p>
        </w:tc>
        <w:tc>
          <w:tcPr>
            <w:tcW w:w="16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必修课</w:t>
            </w:r>
          </w:p>
        </w:tc>
        <w:tc>
          <w:tcPr>
            <w:tcW w:w="10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1</w:t>
            </w:r>
          </w:p>
        </w:tc>
        <w:tc>
          <w:tcPr>
            <w:tcW w:w="136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陈彦</w:t>
            </w:r>
          </w:p>
        </w:tc>
        <w:tc>
          <w:tcPr>
            <w:tcW w:w="2531"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体育原理是指从宏观上研究体育的本质、基本特征及其一般规律、指导体育实践的一门学科。体育原理与体育学、体育理论、体育哲学、体育概论、体育社会学、体育人类学等学科既有本质差异,又有着紧密的联系。</w:t>
            </w:r>
          </w:p>
        </w:tc>
        <w:tc>
          <w:tcPr>
            <w:tcW w:w="15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936"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35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体育教学论</w:t>
            </w:r>
          </w:p>
        </w:tc>
        <w:tc>
          <w:tcPr>
            <w:tcW w:w="168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必修课</w:t>
            </w:r>
          </w:p>
        </w:tc>
        <w:tc>
          <w:tcPr>
            <w:tcW w:w="102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2</w:t>
            </w:r>
            <w:r>
              <w:rPr>
                <w:rFonts w:ascii="宋体" w:hAnsi="宋体" w:cs="宋体"/>
                <w:color w:val="000000"/>
                <w:sz w:val="22"/>
                <w:szCs w:val="22"/>
              </w:rPr>
              <w:t xml:space="preserve"> </w:t>
            </w:r>
          </w:p>
        </w:tc>
        <w:tc>
          <w:tcPr>
            <w:tcW w:w="1369"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刘新民</w:t>
            </w:r>
          </w:p>
        </w:tc>
        <w:tc>
          <w:tcPr>
            <w:tcW w:w="2531"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属于体育教育专业基础课，总的培养目标就是利用教学论原理，结合体育锻炼的实际，使学生掌握体育理论在实际中的应用，以便更好地指导实践</w:t>
            </w:r>
          </w:p>
        </w:tc>
        <w:tc>
          <w:tcPr>
            <w:tcW w:w="151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936"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35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体育科学研究方法高级教程</w:t>
            </w:r>
          </w:p>
        </w:tc>
        <w:tc>
          <w:tcPr>
            <w:tcW w:w="168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必修课</w:t>
            </w:r>
          </w:p>
        </w:tc>
        <w:tc>
          <w:tcPr>
            <w:tcW w:w="102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1</w:t>
            </w:r>
            <w:r>
              <w:rPr>
                <w:rFonts w:ascii="宋体" w:hAnsi="宋体" w:cs="宋体"/>
                <w:color w:val="000000"/>
                <w:sz w:val="22"/>
                <w:szCs w:val="22"/>
              </w:rPr>
              <w:t xml:space="preserve"> </w:t>
            </w:r>
          </w:p>
        </w:tc>
        <w:tc>
          <w:tcPr>
            <w:tcW w:w="1369"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王晓艳</w:t>
            </w:r>
          </w:p>
        </w:tc>
        <w:tc>
          <w:tcPr>
            <w:tcW w:w="2531"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是普通高等学校体育专业的必修课，其目标是通过课程学习使学生掌握体育科学研究的基本理论、基本方法，具有科学研究素养并能够从事体育科学研究的初步能力。</w:t>
            </w:r>
          </w:p>
        </w:tc>
        <w:tc>
          <w:tcPr>
            <w:tcW w:w="151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936" w:type="dxa"/>
            <w:tcBorders>
              <w:top w:val="nil"/>
              <w:left w:val="single" w:color="000000" w:sz="8" w:space="0"/>
              <w:bottom w:val="single" w:color="auto" w:sz="4"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1356"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体育管理学</w:t>
            </w:r>
          </w:p>
        </w:tc>
        <w:tc>
          <w:tcPr>
            <w:tcW w:w="1680"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必修课</w:t>
            </w:r>
          </w:p>
        </w:tc>
        <w:tc>
          <w:tcPr>
            <w:tcW w:w="1020"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1</w:t>
            </w:r>
            <w:r>
              <w:rPr>
                <w:rFonts w:ascii="宋体" w:hAnsi="宋体" w:cs="宋体"/>
                <w:color w:val="000000"/>
                <w:sz w:val="22"/>
                <w:szCs w:val="22"/>
              </w:rPr>
              <w:t xml:space="preserve"> </w:t>
            </w:r>
          </w:p>
        </w:tc>
        <w:tc>
          <w:tcPr>
            <w:tcW w:w="1369"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张恩利</w:t>
            </w:r>
          </w:p>
        </w:tc>
        <w:tc>
          <w:tcPr>
            <w:tcW w:w="2531"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cs="仿宋" w:asciiTheme="minorEastAsia" w:hAnsiTheme="minorEastAsia" w:eastAsiaTheme="minorEastAsia"/>
                <w:sz w:val="22"/>
                <w:szCs w:val="22"/>
              </w:rPr>
            </w:pPr>
            <w:r>
              <w:rPr>
                <w:rFonts w:cs="仿宋" w:asciiTheme="minorEastAsia" w:hAnsiTheme="minorEastAsia" w:eastAsiaTheme="minorEastAsia"/>
                <w:sz w:val="22"/>
                <w:szCs w:val="22"/>
              </w:rPr>
              <w:t>系统介绍了体育管理学领域的相关理论与实践知识，重点讲述了体育管理实务操作，具有很强的实践性与应用性。研究方法主要有观察、调查、实验、比较、分析及个案研究等。</w:t>
            </w:r>
          </w:p>
          <w:p>
            <w:pPr>
              <w:widowControl/>
              <w:jc w:val="center"/>
              <w:textAlignment w:val="center"/>
              <w:rPr>
                <w:rFonts w:hint="eastAsia" w:ascii="宋体" w:hAnsi="宋体" w:eastAsia="宋体" w:cs="宋体"/>
                <w:color w:val="000000"/>
                <w:kern w:val="2"/>
                <w:sz w:val="22"/>
                <w:szCs w:val="22"/>
                <w:lang w:val="en-US" w:eastAsia="zh-CN" w:bidi="ar-SA"/>
              </w:rPr>
            </w:pPr>
          </w:p>
        </w:tc>
        <w:tc>
          <w:tcPr>
            <w:tcW w:w="1512"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运动康复医学基础理论</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必修课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仿宋" w:hAnsi="仿宋" w:eastAsia="仿宋" w:cs="仿宋"/>
                <w:sz w:val="24"/>
              </w:rPr>
              <w:t>1</w:t>
            </w:r>
            <w:r>
              <w:rPr>
                <w:rFonts w:ascii="宋体" w:hAnsi="宋体" w:cs="宋体"/>
                <w:color w:val="000000"/>
                <w:sz w:val="22"/>
                <w:szCs w:val="22"/>
              </w:rPr>
              <w:t xml:space="preserve">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sz w:val="24"/>
              </w:rPr>
              <w:t>刘远新</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课程教学内容包括竞技体育和大众健身领域常见伤病的预防、评估、康复等理论和方法等，为运动康复专业人才从事竞技运动医疗保障、体医融合工作打下坚实基础，也为其他相关专业学生认识和预防运动伤病打下基础。 </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7</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Style w:val="14"/>
                <w:rFonts w:hint="eastAsia" w:ascii="仿宋" w:hAnsi="仿宋" w:eastAsia="仿宋" w:cs="仿宋"/>
                <w:sz w:val="24"/>
              </w:rPr>
              <w:t>高级功能解剖学与运动生物力学原理与应用</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必修课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3</w:t>
            </w:r>
            <w:r>
              <w:rPr>
                <w:rFonts w:ascii="宋体" w:hAnsi="宋体" w:cs="宋体"/>
                <w:color w:val="000000"/>
                <w:kern w:val="0"/>
                <w:sz w:val="22"/>
                <w:szCs w:val="22"/>
                <w:lang w:bidi="ar"/>
              </w:rPr>
              <w:t xml:space="preserve">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王琨</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运动生物力学研究以体育运动为核心，运用人体解剖学，人体生理，学力学理论与方法，研究人体运动器系的生物力学特征和人体运动动作的规律，并根据影响人体运动的内部和外部条件，寻求人体运动技术的合理化和更佳化。</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8</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体能训练理论与实践专题</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必修课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3</w:t>
            </w:r>
            <w:r>
              <w:rPr>
                <w:rFonts w:ascii="宋体" w:hAnsi="宋体" w:cs="宋体"/>
                <w:color w:val="000000"/>
                <w:kern w:val="0"/>
                <w:sz w:val="22"/>
                <w:szCs w:val="22"/>
                <w:lang w:bidi="ar"/>
              </w:rPr>
              <w:t xml:space="preserve">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刘耀荣</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ascii="宋体" w:hAnsi="宋体" w:cs="宋体"/>
                <w:color w:val="000000"/>
                <w:kern w:val="0"/>
                <w:sz w:val="22"/>
                <w:szCs w:val="22"/>
                <w:lang w:bidi="ar"/>
              </w:rPr>
              <w:t>从训练原则、体育项目等不同层面讲述体能训练的重要性，还从解剖学、生理学、心理学等多重角度去阐释体能训练，并且对体能训练的测定方法、训练器械的维护都有所涉及</w:t>
            </w:r>
            <w:r>
              <w:rPr>
                <w:rFonts w:hint="eastAsia" w:ascii="宋体" w:hAnsi="宋体" w:cs="宋体"/>
                <w:color w:val="000000"/>
                <w:kern w:val="0"/>
                <w:sz w:val="22"/>
                <w:szCs w:val="22"/>
                <w:lang w:bidi="ar"/>
              </w:rPr>
              <w:t>。</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9</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体育测量与评价专题</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必修课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1</w:t>
            </w:r>
            <w:r>
              <w:rPr>
                <w:rFonts w:ascii="宋体" w:hAnsi="宋体" w:cs="宋体"/>
                <w:color w:val="000000"/>
                <w:kern w:val="0"/>
                <w:sz w:val="22"/>
                <w:szCs w:val="22"/>
                <w:lang w:bidi="ar"/>
              </w:rPr>
              <w:t xml:space="preserve">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杜新星</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hint="eastAsia" w:ascii="宋体" w:hAnsi="宋体" w:eastAsia="宋体" w:cs="宋体"/>
                <w:color w:val="000000"/>
                <w:kern w:val="0"/>
                <w:sz w:val="22"/>
                <w:szCs w:val="22"/>
                <w:lang w:val="en-US" w:eastAsia="zh-CN" w:bidi="ar"/>
              </w:rPr>
            </w:pPr>
            <w:r>
              <w:rPr>
                <w:sz w:val="22"/>
                <w:szCs w:val="28"/>
              </w:rPr>
              <w:t>是对体育范畴内身体综合能力及有关因素进行测量与价值判断的一门应用学科，为运动实践提供了各种测量和评价的基本理论与方法，有着较高的实用价值。</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10</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体育运动心理学</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必修课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1</w:t>
            </w:r>
            <w:r>
              <w:rPr>
                <w:rFonts w:ascii="宋体" w:hAnsi="宋体" w:cs="宋体"/>
                <w:color w:val="000000"/>
                <w:kern w:val="0"/>
                <w:sz w:val="22"/>
                <w:szCs w:val="22"/>
                <w:lang w:bidi="ar"/>
              </w:rPr>
              <w:t xml:space="preserve">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李靖</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ascii="宋体" w:hAnsi="宋体" w:cs="宋体"/>
                <w:color w:val="000000"/>
                <w:kern w:val="0"/>
                <w:sz w:val="22"/>
                <w:szCs w:val="22"/>
                <w:lang w:bidi="ar"/>
              </w:rPr>
              <w:t>课程系统讨论竞技运动中的心理学问题，从运动心理学的发展脉络，运动员的动力来源、心理特征、认知过程、自我完善、心理健康和社会互动等领域介绍相关研究的发展脉络、研究特点和重要成果。</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11</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sz w:val="24"/>
              </w:rPr>
              <w:t>运动训练学</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必修课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1</w:t>
            </w:r>
            <w:r>
              <w:rPr>
                <w:rFonts w:ascii="宋体" w:hAnsi="宋体" w:cs="宋体"/>
                <w:color w:val="000000"/>
                <w:kern w:val="0"/>
                <w:sz w:val="22"/>
                <w:szCs w:val="22"/>
                <w:lang w:bidi="ar"/>
              </w:rPr>
              <w:t xml:space="preserve">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周家颖</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ascii="Arial" w:hAnsi="Arial" w:cs="Arial"/>
                <w:color w:val="333333"/>
                <w:sz w:val="22"/>
                <w:szCs w:val="22"/>
                <w:shd w:val="clear" w:color="auto" w:fill="FFFFFF"/>
              </w:rPr>
              <w:t>广泛吸取现代科技成果和多学课的理论与方法，应用于运动训练学的理论研究于实践应用之中；运用一般运动训练学的基本理论指导各项训练实践。</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12</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sz w:val="24"/>
              </w:rPr>
              <w:t>体育社会学</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必修课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2</w:t>
            </w:r>
            <w:r>
              <w:rPr>
                <w:rFonts w:ascii="宋体" w:hAnsi="宋体" w:cs="宋体"/>
                <w:color w:val="000000"/>
                <w:kern w:val="0"/>
                <w:sz w:val="22"/>
                <w:szCs w:val="22"/>
                <w:lang w:bidi="ar"/>
              </w:rPr>
              <w:t xml:space="preserve">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杨建设</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社会生活中的体育运动，竞技体育的社会学分析，社会体育的社会学分析，体育群体与人群体育的社会学分析，体育运动的民族与宗教问题，体育的社会问题，体育社会学研究方法。</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8"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13</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计算机专题</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选修课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2</w:t>
            </w:r>
            <w:r>
              <w:rPr>
                <w:rFonts w:ascii="宋体" w:hAnsi="宋体" w:cs="宋体"/>
                <w:color w:val="000000"/>
                <w:kern w:val="0"/>
                <w:sz w:val="22"/>
                <w:szCs w:val="22"/>
                <w:lang w:bidi="ar"/>
              </w:rPr>
              <w:t xml:space="preserve">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张晓丽</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本课程是为各专业的学生开设的一门关于计算机基础教育的课程。学习目标是使学生较全面、系统地掌握计算机硬、软件技术与网络技术的基本概念，了解软件设计与信息处理的基本过程，掌握典型计算机系统的基本工作原理，具有较强的信息系统安全性。</w:t>
            </w:r>
          </w:p>
          <w:p>
            <w:pPr>
              <w:widowControl/>
              <w:jc w:val="center"/>
              <w:textAlignment w:val="center"/>
              <w:rPr>
                <w:rFonts w:hint="eastAsia" w:ascii="宋体" w:hAnsi="宋体" w:eastAsia="宋体" w:cs="宋体"/>
                <w:color w:val="000000"/>
                <w:kern w:val="0"/>
                <w:sz w:val="22"/>
                <w:szCs w:val="22"/>
                <w:lang w:val="en-US" w:eastAsia="zh-CN" w:bidi="ar"/>
              </w:rPr>
            </w:pP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14</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体育统计方法（SPSS应用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选修课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sz w:val="24"/>
              </w:rPr>
              <w:t>1</w:t>
            </w:r>
            <w:r>
              <w:rPr>
                <w:rFonts w:ascii="宋体" w:hAnsi="宋体" w:cs="宋体"/>
                <w:color w:val="000000"/>
                <w:kern w:val="0"/>
                <w:sz w:val="22"/>
                <w:szCs w:val="22"/>
                <w:lang w:bidi="ar"/>
              </w:rPr>
              <w:t xml:space="preserve">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杜新星</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主要包括：SPSS的界面操作、数据文件建立、常见数据文件管理、连续变量和分类变量的统计描述、常用统计表制作、假设检验、方差分析、卡方检验、非参数检验、相关和回归分析、聚类分析、主成分和因子分析。</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15</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运动营养</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选修课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 xml:space="preserve">1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刘军</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2"/>
                <w:szCs w:val="22"/>
              </w:rPr>
              <w:t>运动营养学是研究合理利用食物以促进身体生长发育、增进健康、提高机能、预防疾病和延年益寿等的一门学科。运动营养学是运用营养学知识为运动训练及比赛或体育锻炼服务的一门科学</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0"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16</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体育艺术项目赏析</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选修课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 xml:space="preserve">1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马丽侠</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2"/>
                <w:szCs w:val="22"/>
              </w:rPr>
              <w:t>体育欣赏的教学的目的着眼于对体育欣赏内容的详细与分析，着重对体育欣赏传统价值观念中记承下来的观念和意识进行深入宣扬</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17</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体育舞蹈</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选修课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 xml:space="preserve">1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郭伟</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2"/>
                <w:szCs w:val="22"/>
              </w:rPr>
              <w:t>主要教授内容为体育舞蹈的基本原理知识、竞赛规则、竞赛方法等，更侧重培养气质、风度和社交礼仪，通过学习掌握一定的表演技能，具备欣赏舞蹈美的能力。</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18</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足球</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选修课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 xml:space="preserve">2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席海龙</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cs="仿宋" w:asciiTheme="minorEastAsia" w:hAnsiTheme="minorEastAsia" w:eastAsiaTheme="minorEastAsia"/>
                <w:kern w:val="2"/>
                <w:sz w:val="22"/>
                <w:szCs w:val="22"/>
                <w:lang w:val="en-US" w:eastAsia="zh-CN" w:bidi="ar-SA"/>
              </w:rPr>
            </w:pPr>
            <w:r>
              <w:rPr>
                <w:rFonts w:hint="eastAsia" w:cs="仿宋" w:asciiTheme="minorEastAsia" w:hAnsiTheme="minorEastAsia" w:eastAsiaTheme="minorEastAsia"/>
                <w:sz w:val="22"/>
                <w:szCs w:val="22"/>
              </w:rPr>
              <w:t>使学生掌握足球运动的基本练习方法，了解足球运动的颠球、运球、传球、射门等技术，学习一种终生锻炼身体的方法。提高身体各项素质：力量、耐力、灵敏。</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19</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羽毛球</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选修课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 xml:space="preserve">2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于新彦</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2"/>
                <w:szCs w:val="22"/>
              </w:rPr>
              <w:t>树立正确的体育观，养成科学自觉锻炼身体的习惯和终身体育的意识；掌握羽毛球单打、双打的比赛技术并能组织小范围的羽毛球比赛活动。</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36"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20</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游泳</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选修课</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 xml:space="preserve">2 </w:t>
            </w:r>
          </w:p>
        </w:tc>
        <w:tc>
          <w:tcPr>
            <w:tcW w:w="1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sz w:val="24"/>
              </w:rPr>
              <w:t>肖红</w:t>
            </w:r>
          </w:p>
        </w:tc>
        <w:tc>
          <w:tcPr>
            <w:tcW w:w="2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ascii="宋体" w:hAnsi="宋体" w:cs="宋体"/>
                <w:kern w:val="0"/>
                <w:sz w:val="22"/>
                <w:szCs w:val="22"/>
              </w:rPr>
              <w:t>从运动技能的掌握，身体素质的提高，个性的培养，参与锻炼的主动性及心理素质等多方面进行培养。主要讲授：踩水、蛙泳、自由泳、水中救生等内容，逐步提高学生的技术水平与运动能力，促使身体健康发展。</w:t>
            </w:r>
          </w:p>
          <w:p>
            <w:pPr>
              <w:widowControl/>
              <w:textAlignment w:val="center"/>
              <w:rPr>
                <w:rFonts w:hint="eastAsia" w:ascii="仿宋" w:hAnsi="仿宋" w:eastAsia="仿宋" w:cs="仿宋"/>
                <w:kern w:val="2"/>
                <w:sz w:val="24"/>
                <w:szCs w:val="24"/>
                <w:lang w:val="en-US" w:eastAsia="zh-CN" w:bidi="ar-SA"/>
              </w:rPr>
            </w:pPr>
          </w:p>
        </w:tc>
        <w:tc>
          <w:tcPr>
            <w:tcW w:w="15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bl>
    <w:p>
      <w:pPr>
        <w:numPr>
          <w:ilvl w:val="0"/>
          <w:numId w:val="0"/>
        </w:numPr>
        <w:spacing w:line="360" w:lineRule="auto"/>
        <w:ind w:firstLine="643" w:firstLineChars="200"/>
        <w:rPr>
          <w:rFonts w:hint="eastAsia" w:ascii="仿宋" w:hAnsi="仿宋" w:eastAsia="仿宋" w:cs="仿宋"/>
          <w:b/>
          <w:bCs/>
          <w:kern w:val="2"/>
          <w:sz w:val="32"/>
          <w:szCs w:val="32"/>
          <w:lang w:val="en-US" w:eastAsia="zh-CN"/>
        </w:rPr>
      </w:pPr>
      <w:r>
        <w:rPr>
          <w:rFonts w:hint="eastAsia" w:ascii="仿宋" w:hAnsi="仿宋" w:eastAsia="仿宋" w:cs="仿宋"/>
          <w:b/>
          <w:bCs/>
          <w:kern w:val="2"/>
          <w:sz w:val="32"/>
          <w:szCs w:val="32"/>
          <w:lang w:val="en-US" w:eastAsia="zh-CN"/>
        </w:rPr>
        <w:t>（二）国家级、省部级教学成果奖</w:t>
      </w:r>
    </w:p>
    <w:p>
      <w:pPr>
        <w:pStyle w:val="8"/>
        <w:widowControl/>
        <w:spacing w:beforeAutospacing="0" w:afterAutospacing="0" w:line="360" w:lineRule="auto"/>
        <w:ind w:firstLine="640" w:firstLineChars="200"/>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1.内容：统计时间段内获得教学成果奖的情况。</w:t>
      </w:r>
    </w:p>
    <w:p>
      <w:pPr>
        <w:pStyle w:val="8"/>
        <w:widowControl/>
        <w:spacing w:beforeAutospacing="0" w:afterAutospacing="0" w:line="360" w:lineRule="auto"/>
        <w:ind w:firstLine="640" w:firstLineChars="200"/>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rPr>
        <w:t>2.奖项类型：国家级研究生教育教学成果奖、国家级高等教育教学成果奖、国家级基础教育教学成果奖、国家级职业教育教学成果奖，及省部级相关奖项。</w:t>
      </w:r>
      <w:r>
        <w:rPr>
          <w:rFonts w:hint="eastAsia" w:ascii="仿宋" w:hAnsi="仿宋" w:eastAsia="仿宋" w:cs="仿宋"/>
          <w:b w:val="0"/>
          <w:bCs w:val="0"/>
          <w:kern w:val="2"/>
          <w:sz w:val="32"/>
          <w:szCs w:val="32"/>
          <w:lang w:val="en-US" w:eastAsia="zh-CN"/>
        </w:rPr>
        <w:t xml:space="preserve"> </w:t>
      </w:r>
    </w:p>
    <w:p>
      <w:pPr>
        <w:pStyle w:val="8"/>
        <w:widowControl/>
        <w:spacing w:beforeAutospacing="0" w:afterAutospacing="0" w:line="360" w:lineRule="auto"/>
        <w:ind w:firstLine="640" w:firstLineChars="200"/>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3.奖项等级：国家、省部级特等奖、一等奖、二等奖、三等奖。</w:t>
      </w:r>
    </w:p>
    <w:p>
      <w:pPr>
        <w:pStyle w:val="8"/>
        <w:widowControl/>
        <w:spacing w:beforeAutospacing="0" w:afterAutospacing="0" w:line="360" w:lineRule="auto"/>
        <w:ind w:firstLine="640" w:firstLineChars="200"/>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4.单位署名次序：学位授予单位的署名次序。</w:t>
      </w:r>
    </w:p>
    <w:p>
      <w:pPr>
        <w:pStyle w:val="8"/>
        <w:widowControl/>
        <w:spacing w:beforeAutospacing="0" w:afterAutospacing="0" w:line="360" w:lineRule="auto"/>
        <w:ind w:firstLine="640" w:firstLineChars="200"/>
        <w:rPr>
          <w:rFonts w:ascii="宋体" w:hAnsi="宋体" w:cs="宋体"/>
          <w:b/>
          <w:bCs/>
          <w:kern w:val="2"/>
        </w:rPr>
      </w:pPr>
      <w:r>
        <w:rPr>
          <w:rFonts w:hint="eastAsia" w:ascii="仿宋" w:hAnsi="仿宋" w:eastAsia="仿宋" w:cs="仿宋"/>
          <w:b w:val="0"/>
          <w:bCs w:val="0"/>
          <w:kern w:val="2"/>
          <w:sz w:val="32"/>
          <w:szCs w:val="32"/>
        </w:rPr>
        <w:t>5.完成人署名次序：完成人应为本学位授权点专任教师。</w:t>
      </w:r>
    </w:p>
    <w:tbl>
      <w:tblPr>
        <w:tblStyle w:val="9"/>
        <w:tblpPr w:leftFromText="180" w:rightFromText="180" w:vertAnchor="text" w:horzAnchor="page" w:tblpX="824" w:tblpY="192"/>
        <w:tblOverlap w:val="never"/>
        <w:tblW w:w="102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4"/>
        <w:gridCol w:w="1428"/>
        <w:gridCol w:w="1411"/>
        <w:gridCol w:w="1481"/>
        <w:gridCol w:w="1560"/>
        <w:gridCol w:w="1212"/>
        <w:gridCol w:w="1440"/>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trPr>
        <w:tc>
          <w:tcPr>
            <w:tcW w:w="804"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序号</w:t>
            </w:r>
          </w:p>
        </w:tc>
        <w:tc>
          <w:tcPr>
            <w:tcW w:w="1428"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成果名称</w:t>
            </w:r>
          </w:p>
        </w:tc>
        <w:tc>
          <w:tcPr>
            <w:tcW w:w="141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奖项类型</w:t>
            </w:r>
          </w:p>
        </w:tc>
        <w:tc>
          <w:tcPr>
            <w:tcW w:w="148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奖项等级</w:t>
            </w:r>
          </w:p>
        </w:tc>
        <w:tc>
          <w:tcPr>
            <w:tcW w:w="156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成果完成人</w:t>
            </w:r>
          </w:p>
        </w:tc>
        <w:tc>
          <w:tcPr>
            <w:tcW w:w="1212"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单位署名次序</w:t>
            </w:r>
          </w:p>
        </w:tc>
        <w:tc>
          <w:tcPr>
            <w:tcW w:w="144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完成人署名次序</w:t>
            </w:r>
          </w:p>
        </w:tc>
        <w:tc>
          <w:tcPr>
            <w:tcW w:w="936"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12" w:hRule="atLeast"/>
        </w:trPr>
        <w:tc>
          <w:tcPr>
            <w:tcW w:w="804"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bl>
    <w:p>
      <w:pPr>
        <w:pStyle w:val="8"/>
        <w:widowControl/>
        <w:numPr>
          <w:ilvl w:val="0"/>
          <w:numId w:val="0"/>
        </w:numPr>
        <w:spacing w:beforeAutospacing="0" w:afterAutospacing="0" w:line="360" w:lineRule="auto"/>
        <w:rPr>
          <w:rFonts w:hint="eastAsia" w:ascii="仿宋" w:hAnsi="仿宋" w:eastAsia="仿宋" w:cs="仿宋"/>
          <w:b/>
          <w:bCs/>
          <w:sz w:val="32"/>
          <w:szCs w:val="32"/>
          <w:lang w:val="en-US" w:eastAsia="zh-CN"/>
        </w:rPr>
      </w:pPr>
    </w:p>
    <w:p>
      <w:pPr>
        <w:pStyle w:val="8"/>
        <w:widowControl/>
        <w:numPr>
          <w:ilvl w:val="0"/>
          <w:numId w:val="0"/>
        </w:numPr>
        <w:spacing w:beforeAutospacing="0" w:afterAutospacing="0"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（三）学生国内外竞赛获奖项目项目</w:t>
      </w:r>
    </w:p>
    <w:p>
      <w:pPr>
        <w:pStyle w:val="8"/>
        <w:widowControl/>
        <w:spacing w:beforeAutospacing="0" w:afterAutospacing="0"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1.内容：统计时间段，学生在学期间在各年度国内外各类竞赛中的获奖情况。每年获奖奖项限填20项以内。</w:t>
      </w:r>
    </w:p>
    <w:p>
      <w:pPr>
        <w:pStyle w:val="8"/>
        <w:widowControl/>
        <w:numPr>
          <w:ilvl w:val="0"/>
          <w:numId w:val="0"/>
        </w:numPr>
        <w:spacing w:beforeAutospacing="0" w:afterAutospacing="0"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2.奖项名称：学生参加的国内外大赛名称的全称。</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3.获奖作品：选填项，获奖无作品可不填。</w:t>
      </w:r>
    </w:p>
    <w:p>
      <w:pPr>
        <w:pStyle w:val="8"/>
        <w:widowControl/>
        <w:numPr>
          <w:ilvl w:val="0"/>
          <w:numId w:val="0"/>
        </w:numPr>
        <w:spacing w:beforeAutospacing="0" w:afterAutospacing="0"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4.获奖等级：特等奖、一等奖、二等奖、团体奖等（根据实际填写）。</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5.组织单位名称：组织评奖单位的全称。</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6.组织单位类型：政府、学会、协会、其他。</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7.获奖人姓名：在校生（包含留学生）姓名。</w:t>
      </w:r>
    </w:p>
    <w:tbl>
      <w:tblPr>
        <w:tblStyle w:val="9"/>
        <w:tblpPr w:leftFromText="180" w:rightFromText="180" w:vertAnchor="text" w:horzAnchor="page" w:tblpX="1040" w:tblpY="381"/>
        <w:tblOverlap w:val="never"/>
        <w:tblW w:w="101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0"/>
        <w:gridCol w:w="936"/>
        <w:gridCol w:w="1284"/>
        <w:gridCol w:w="1272"/>
        <w:gridCol w:w="1171"/>
        <w:gridCol w:w="876"/>
        <w:gridCol w:w="1805"/>
        <w:gridCol w:w="1032"/>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序号</w:t>
            </w:r>
          </w:p>
        </w:tc>
        <w:tc>
          <w:tcPr>
            <w:tcW w:w="936"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年度</w:t>
            </w:r>
          </w:p>
        </w:tc>
        <w:tc>
          <w:tcPr>
            <w:tcW w:w="1284"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奖项名称</w:t>
            </w:r>
          </w:p>
        </w:tc>
        <w:tc>
          <w:tcPr>
            <w:tcW w:w="1272"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获奖作品</w:t>
            </w:r>
          </w:p>
        </w:tc>
        <w:tc>
          <w:tcPr>
            <w:tcW w:w="117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获奖等级</w:t>
            </w:r>
          </w:p>
        </w:tc>
        <w:tc>
          <w:tcPr>
            <w:tcW w:w="876"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获奖时间</w:t>
            </w:r>
          </w:p>
        </w:tc>
        <w:tc>
          <w:tcPr>
            <w:tcW w:w="1805"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组织单位名称</w:t>
            </w:r>
          </w:p>
        </w:tc>
        <w:tc>
          <w:tcPr>
            <w:tcW w:w="1032"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组织单位类型</w:t>
            </w:r>
          </w:p>
        </w:tc>
        <w:tc>
          <w:tcPr>
            <w:tcW w:w="996"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“关工委”全国青少年健身操舞技能展示大赛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健身操舞</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一等奖</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 xml:space="preserve"> 中国关心一代工作委员会健康体育发展中心                                                                   </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其他</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陈珂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“关工委”2022年青少年健身操舞技能展示大赛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健身操舞</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特等奖</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中国关心一代工作委员会健康体育发展中心</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其他</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段亭宇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2022年IFBB宇宙先生中国资格赛</w:t>
            </w:r>
            <w:r>
              <w:rPr>
                <w:rFonts w:hint="eastAsia" w:ascii="仿宋" w:hAnsi="仿宋" w:eastAsia="仿宋"/>
                <w:spacing w:val="-4"/>
                <w:sz w:val="24"/>
              </w:rPr>
              <w:br w:type="textWrapping"/>
            </w:r>
            <w:r>
              <w:rPr>
                <w:rFonts w:hint="eastAsia" w:ascii="仿宋" w:hAnsi="仿宋" w:eastAsia="仿宋"/>
                <w:spacing w:val="-4"/>
                <w:sz w:val="24"/>
              </w:rPr>
              <w:t xml:space="preserve">CBBA Pro中国健美健身精英职业联赛 </w:t>
            </w:r>
            <w:r>
              <w:rPr>
                <w:rFonts w:hint="eastAsia" w:ascii="仿宋" w:hAnsi="仿宋" w:eastAsia="仿宋"/>
                <w:spacing w:val="-4"/>
                <w:sz w:val="24"/>
              </w:rPr>
              <w:br w:type="textWrapping"/>
            </w:r>
            <w:r>
              <w:rPr>
                <w:rFonts w:hint="eastAsia" w:ascii="仿宋" w:hAnsi="仿宋" w:eastAsia="仿宋"/>
                <w:spacing w:val="-4"/>
                <w:sz w:val="24"/>
              </w:rPr>
              <w:t>全国健身锦标赛健身模特大赛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女子形体</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季军</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202207</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中国健美协会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董甜甜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CBBA Pro中国健美健身精英职业联赛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女子形体全场冠军赛</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第六名</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202207</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中国健美协会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董甜甜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2022年青少年健身操舞教学技能大赛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2020学生健身操舞运动技能</w:t>
            </w:r>
            <w:r>
              <w:rPr>
                <w:rFonts w:hint="eastAsia" w:ascii="仿宋" w:hAnsi="仿宋" w:eastAsia="仿宋"/>
                <w:spacing w:val="-4"/>
                <w:sz w:val="24"/>
              </w:rPr>
              <w:br w:type="textWrapping"/>
            </w:r>
            <w:r>
              <w:rPr>
                <w:rFonts w:hint="eastAsia" w:ascii="仿宋" w:hAnsi="仿宋" w:eastAsia="仿宋"/>
                <w:spacing w:val="-4"/>
                <w:sz w:val="24"/>
              </w:rPr>
              <w:t>规定四级</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特等奖</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202206</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中国健美协会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董甜甜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2022年陕西省第二届学生健身瑜伽比赛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乙组大集体自编</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一等奖</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202206</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陕西省学生体育协会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董甜甜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中国飞盘联赛 陕西西安站</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混合7人赛</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第一名</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国家体育总局社会体育指导中心</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魏桉栋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2022年全国运动训练竞赛联盟啦啦操锦标赛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自由舞蹈啦啦操</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第一名</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202206</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全国运动训练竞赛联盟</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张佳惠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中国关心下一代工作委员会健康体育发展中心 2022年青少年健身操舞技能展示大赛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2017年全国校园踏板健身操规定动作大学组（体育院校组）大集体组</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团体特等奖</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中国关心下一代工作委员会健康体育发展中心</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其他</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张佳茹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r>
              <w:rPr>
                <w:rFonts w:hint="eastAsia"/>
                <w:sz w:val="22"/>
                <w:szCs w:val="22"/>
              </w:rPr>
              <w:t>2022年青少年健身操舞技能大赛</w:t>
            </w:r>
          </w:p>
          <w:p>
            <w:pPr>
              <w:adjustRightInd w:val="0"/>
              <w:snapToGrid w:val="0"/>
              <w:jc w:val="center"/>
              <w:textAlignment w:val="center"/>
              <w:rPr>
                <w:rFonts w:hint="eastAsia" w:ascii="仿宋" w:hAnsi="仿宋" w:eastAsia="仿宋" w:cs="Times New Roman"/>
                <w:spacing w:val="-4"/>
                <w:kern w:val="2"/>
                <w:sz w:val="24"/>
                <w:szCs w:val="24"/>
                <w:lang w:val="en-US" w:eastAsia="zh-CN" w:bidi="ar-SA"/>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r>
              <w:rPr>
                <w:rFonts w:hint="eastAsia"/>
                <w:sz w:val="22"/>
                <w:szCs w:val="22"/>
              </w:rPr>
              <w:t>规定9级</w:t>
            </w:r>
          </w:p>
          <w:p>
            <w:pPr>
              <w:adjustRightInd w:val="0"/>
              <w:snapToGrid w:val="0"/>
              <w:jc w:val="center"/>
              <w:textAlignment w:val="center"/>
              <w:rPr>
                <w:rFonts w:hint="eastAsia" w:ascii="仿宋" w:hAnsi="仿宋" w:eastAsia="仿宋" w:cs="Times New Roman"/>
                <w:spacing w:val="-4"/>
                <w:kern w:val="2"/>
                <w:sz w:val="24"/>
                <w:szCs w:val="24"/>
                <w:lang w:val="en-US" w:eastAsia="zh-CN" w:bidi="ar-SA"/>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r>
              <w:rPr>
                <w:rFonts w:hint="eastAsia"/>
                <w:sz w:val="22"/>
                <w:szCs w:val="22"/>
              </w:rPr>
              <w:t>第1名</w:t>
            </w:r>
          </w:p>
          <w:p>
            <w:pPr>
              <w:adjustRightInd w:val="0"/>
              <w:snapToGrid w:val="0"/>
              <w:jc w:val="center"/>
              <w:textAlignment w:val="center"/>
              <w:rPr>
                <w:rFonts w:hint="eastAsia" w:ascii="仿宋" w:hAnsi="仿宋" w:eastAsia="仿宋" w:cs="Times New Roman"/>
                <w:spacing w:val="-4"/>
                <w:kern w:val="2"/>
                <w:sz w:val="24"/>
                <w:szCs w:val="24"/>
                <w:lang w:val="en-US" w:eastAsia="zh-CN" w:bidi="ar-SA"/>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202206</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中国关心下一代工作委员会健康体育发展中心</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其他</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2"/>
                <w:szCs w:val="22"/>
              </w:rPr>
            </w:pPr>
            <w:r>
              <w:rPr>
                <w:rFonts w:hint="eastAsia"/>
                <w:sz w:val="22"/>
                <w:szCs w:val="22"/>
              </w:rPr>
              <w:t>张静雯</w:t>
            </w:r>
          </w:p>
          <w:p>
            <w:pPr>
              <w:adjustRightInd w:val="0"/>
              <w:snapToGrid w:val="0"/>
              <w:jc w:val="center"/>
              <w:textAlignment w:val="center"/>
              <w:rPr>
                <w:rFonts w:hint="eastAsia" w:ascii="仿宋" w:hAnsi="仿宋" w:eastAsia="仿宋" w:cs="Times New Roman"/>
                <w:spacing w:val="-4"/>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2022级青少年健身操舞教学技能大赛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2020学生健身操舞运动技能规定四级</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个人二等奖</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202205</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中国关心下一代工作委员会健康体育发展中心</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其他</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王华玮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2022级青少年健身操舞教学技能大赛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2020学生健身操舞运动技能规定九级</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个人一等奖</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202208</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中国关心下一代工作委员会健康体育发展中心</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其他</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王华玮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“我要上全运”陕西省第七届全民健身操舞大赛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有氧健身操舞（2012年全民健身操等级规定动作有氧舞蹈1-6级）</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第一名</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陕西省体操协会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李晓媛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“我要上全运”陕西省第七届全民健身操舞大赛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有氧健身操舞（2012年全民健身操等级规定动作有氧舞蹈1-6级）</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第一名</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陕西省体操协会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张卓飞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中国关心下一代工作委员会健康体育发展中心 青少年健身操舞技能大赛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2017年全国校园踏板健身操规定动作大学组（体育院校组）大集体组</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团体特等奖</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202208</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sz w:val="22"/>
                <w:szCs w:val="22"/>
              </w:rPr>
              <w:t>中国关心下一代工作委员会健康体育发展中心</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其他</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郭甜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0"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“我要上全运”陕西省第七届全民健身操舞大赛西安分站赛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大学甲组徒手广场健身操舞（自选）</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团体第一名</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陕西省体操协会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郭甜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2022年全国健身气功八段锦网络视频大赛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八段锦普通功法</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个人赛一等奖</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202205</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textAlignment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中国健身气功协会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李晓强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2023年全国健身气功八段锦网络视频大赛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八段锦普通功法</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集体赛优胜奖</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202205</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仿宋" w:hAnsi="仿宋" w:eastAsia="仿宋"/>
                <w:spacing w:val="-4"/>
                <w:sz w:val="24"/>
              </w:rPr>
              <w:t>中国健身气功协会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李晓强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2022年全球太极拳网络大赛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二十四式太极拳</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个人赛一等奖</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中国武术协会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李晓强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8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sz w:val="22"/>
                <w:szCs w:val="22"/>
              </w:rPr>
              <w:t>2022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2022年全国高等院校健身气功锦标赛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易筋经竞赛功法</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个人赛第一名</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202207</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仿宋" w:hAnsi="仿宋" w:eastAsia="仿宋"/>
                <w:spacing w:val="-4"/>
                <w:sz w:val="24"/>
              </w:rPr>
              <w:t>中国健身气功协会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李晓强</w:t>
            </w:r>
          </w:p>
        </w:tc>
      </w:tr>
    </w:tbl>
    <w:p>
      <w:pPr>
        <w:pStyle w:val="8"/>
        <w:widowControl/>
        <w:numPr>
          <w:ilvl w:val="0"/>
          <w:numId w:val="0"/>
        </w:numPr>
        <w:spacing w:beforeAutospacing="0" w:afterAutospacing="0"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（四）人才培养质量保证情况</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内容：统计时间段内，研究生培养全过程监控与质量保证、加强学位论文和学位授予管理等情况。（可参照《关于进一步严格规范学位与研究生教育质量管理的若干意见》（学位〔2020〕19号）对照填写），限500字。</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做好体育学学术学位硕士研究生新生入学教育，通过制定学术学位研究生培养方案，教学方法上注重科研能力的培养和科研方法训练，在学位论文选题上多进行理论性研究的培养。重视课</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p>
    <w:p>
      <w:pPr>
        <w:pStyle w:val="8"/>
        <w:widowControl/>
        <w:spacing w:beforeAutospacing="0" w:afterAutospacing="0" w:line="360" w:lineRule="auto"/>
        <w:ind w:firstLine="640" w:firstLineChars="200"/>
        <w:rPr>
          <w:rFonts w:hint="eastAsia" w:ascii="仿宋" w:hAnsi="仿宋" w:eastAsia="仿宋" w:cs="仿宋"/>
          <w:b w:val="0"/>
          <w:bCs w:val="0"/>
          <w:sz w:val="32"/>
          <w:szCs w:val="32"/>
          <w:lang w:val="en-US" w:eastAsia="zh-CN"/>
        </w:rPr>
        <w:sectPr>
          <w:footerReference r:id="rId4" w:type="default"/>
          <w:pgSz w:w="11906" w:h="16838"/>
          <w:pgMar w:top="1800" w:right="1440" w:bottom="1800" w:left="1440" w:header="851" w:footer="992" w:gutter="0"/>
          <w:cols w:space="425" w:num="1"/>
          <w:docGrid w:type="lines" w:linePitch="312" w:charSpace="0"/>
        </w:sectPr>
      </w:pPr>
    </w:p>
    <w:p>
      <w:pPr>
        <w:rPr>
          <w:rFonts w:hint="eastAsia" w:ascii="仿宋" w:hAnsi="仿宋" w:eastAsia="仿宋" w:cs="仿宋"/>
          <w:b w:val="0"/>
          <w:bCs w:val="0"/>
          <w:sz w:val="32"/>
          <w:szCs w:val="32"/>
        </w:rPr>
      </w:pPr>
      <w:r>
        <w:rPr>
          <w:rFonts w:hint="eastAsia" w:ascii="仿宋" w:hAnsi="仿宋" w:eastAsia="仿宋" w:cs="仿宋"/>
          <w:b w:val="0"/>
          <w:bCs w:val="0"/>
          <w:sz w:val="32"/>
          <w:szCs w:val="32"/>
        </w:rPr>
        <w:t>程思政，将课程思政理念融入学科教育。经常开展教学质量检查，加快建立以教师自评为主、教学督导和研究生评教为辅的研究生教学评估督导体系和评价机制，对教学全过程和教学效果进行科学合理的监督和评价。同时根据学科、学位点发展的需要,结合学科发展规划的制定和实施,合理配置学科带头人和研究生导师梯队，多途径建设一支高水平的导师队伍,引培并举，进一步充实导师数量,加强考核逐渐建立科学公正的师德师风评议机制。完善导师准入制度、培训制度和退出机制，探索新型导师指导模式,从严治教,立德树人。学位论文质量是衡量研究生培养质量的重要依据。学术型研究生采取校内导师与校外兼职导师联合培养的模式，两者共同承担学位论文选题和指导工作,实现导师对教育硕士理论与实践问题研究方面的指导的结合。严格学位论文的开题、中期考核、预答辩、盲审及答辩环节的管理工作。压实导师、学位论文答辩委员会、学位评定委员会等责任。以教师职业为依据培养高层次的教学、管理人才。</w:t>
      </w:r>
    </w:p>
    <w:p>
      <w:pPr>
        <w:pStyle w:val="8"/>
        <w:widowControl/>
        <w:numPr>
          <w:ilvl w:val="0"/>
          <w:numId w:val="0"/>
        </w:numPr>
        <w:spacing w:beforeAutospacing="0" w:afterAutospacing="0"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（五）专任教师数量及结构</w:t>
      </w:r>
    </w:p>
    <w:p>
      <w:pPr>
        <w:pStyle w:val="8"/>
        <w:widowControl/>
        <w:numPr>
          <w:ilvl w:val="0"/>
          <w:numId w:val="0"/>
        </w:numPr>
        <w:spacing w:beforeAutospacing="0" w:afterAutospacing="0" w:line="360" w:lineRule="auto"/>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1.内容：统计时间点，专任教师年龄、职称、学历等情况。</w:t>
      </w:r>
    </w:p>
    <w:p>
      <w:pPr>
        <w:pStyle w:val="8"/>
        <w:widowControl/>
        <w:numPr>
          <w:ilvl w:val="0"/>
          <w:numId w:val="0"/>
        </w:numPr>
        <w:spacing w:beforeAutospacing="0" w:afterAutospacing="0" w:line="360" w:lineRule="auto"/>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2.硕士导师人数：最新《招生简章》中公布的硕士指导教师数，或通过当年度招生资格审核的导师人数。</w:t>
      </w:r>
    </w:p>
    <w:tbl>
      <w:tblPr>
        <w:tblStyle w:val="9"/>
        <w:tblpPr w:leftFromText="180" w:rightFromText="180" w:vertAnchor="text" w:horzAnchor="page" w:tblpX="721" w:tblpY="888"/>
        <w:tblOverlap w:val="never"/>
        <w:tblW w:w="104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2"/>
        <w:gridCol w:w="624"/>
        <w:gridCol w:w="984"/>
        <w:gridCol w:w="852"/>
        <w:gridCol w:w="828"/>
        <w:gridCol w:w="852"/>
        <w:gridCol w:w="792"/>
        <w:gridCol w:w="852"/>
        <w:gridCol w:w="780"/>
        <w:gridCol w:w="797"/>
        <w:gridCol w:w="1332"/>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842"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专业技术职务</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人数合计</w:t>
            </w:r>
          </w:p>
        </w:tc>
        <w:tc>
          <w:tcPr>
            <w:tcW w:w="4308" w:type="dxa"/>
            <w:gridSpan w:val="5"/>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年龄分布</w:t>
            </w:r>
          </w:p>
        </w:tc>
        <w:tc>
          <w:tcPr>
            <w:tcW w:w="1632" w:type="dxa"/>
            <w:gridSpan w:val="2"/>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学历结构</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硕士导师人数</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最高学位非本单位授予的人数</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兼职硕导人数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1" w:hRule="atLeast"/>
        </w:trPr>
        <w:tc>
          <w:tcPr>
            <w:tcW w:w="842"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98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25岁及以下</w:t>
            </w:r>
          </w:p>
        </w:tc>
        <w:tc>
          <w:tcPr>
            <w:tcW w:w="85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26至35岁</w:t>
            </w:r>
          </w:p>
        </w:tc>
        <w:tc>
          <w:tcPr>
            <w:tcW w:w="828"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36至45岁</w:t>
            </w:r>
          </w:p>
        </w:tc>
        <w:tc>
          <w:tcPr>
            <w:tcW w:w="85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46至59岁</w:t>
            </w:r>
          </w:p>
        </w:tc>
        <w:tc>
          <w:tcPr>
            <w:tcW w:w="79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60岁及以上</w:t>
            </w:r>
          </w:p>
        </w:tc>
        <w:tc>
          <w:tcPr>
            <w:tcW w:w="85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博士学位教师</w:t>
            </w:r>
          </w:p>
        </w:tc>
        <w:tc>
          <w:tcPr>
            <w:tcW w:w="780"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硕士学位教师</w:t>
            </w:r>
          </w:p>
        </w:tc>
        <w:tc>
          <w:tcPr>
            <w:tcW w:w="797"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842"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正高级</w:t>
            </w:r>
          </w:p>
        </w:tc>
        <w:tc>
          <w:tcPr>
            <w:tcW w:w="62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i w:val="0"/>
                <w:iCs w:val="0"/>
                <w:color w:val="000000"/>
                <w:kern w:val="0"/>
                <w:sz w:val="22"/>
                <w:szCs w:val="22"/>
                <w:u w:val="none"/>
                <w:lang w:val="en-US" w:eastAsia="zh-CN" w:bidi="ar"/>
              </w:rPr>
              <w:t>12</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11</w:t>
            </w:r>
            <w:r>
              <w:rPr>
                <w:rFonts w:hint="eastAsia" w:ascii="宋体" w:hAnsi="宋体" w:eastAsia="宋体" w:cs="宋体"/>
                <w:i w:val="0"/>
                <w:iCs w:val="0"/>
                <w:color w:val="000000"/>
                <w:kern w:val="0"/>
                <w:sz w:val="22"/>
                <w:szCs w:val="22"/>
                <w:u w:val="none"/>
                <w:lang w:val="en-US" w:eastAsia="zh-CN" w:bidi="ar"/>
              </w:rPr>
              <w:t xml:space="preserve"> </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 xml:space="preserve"> </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 xml:space="preserve"> </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 xml:space="preserve"> </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 xml:space="preserve"> </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842"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副高级</w:t>
            </w:r>
          </w:p>
        </w:tc>
        <w:tc>
          <w:tcPr>
            <w:tcW w:w="62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i w:val="0"/>
                <w:iCs w:val="0"/>
                <w:color w:val="000000"/>
                <w:kern w:val="0"/>
                <w:sz w:val="22"/>
                <w:szCs w:val="22"/>
                <w:u w:val="none"/>
                <w:lang w:val="en-US" w:eastAsia="zh-CN" w:bidi="ar"/>
              </w:rPr>
              <w:t>31</w:t>
            </w:r>
            <w:r>
              <w:rPr>
                <w:rFonts w:hint="eastAsia" w:ascii="宋体" w:hAnsi="宋体" w:eastAsia="宋体" w:cs="宋体"/>
                <w:b/>
                <w:bCs/>
                <w:i w:val="0"/>
                <w:iCs w:val="0"/>
                <w:color w:val="000000"/>
                <w:kern w:val="0"/>
                <w:sz w:val="22"/>
                <w:szCs w:val="22"/>
                <w:u w:val="none"/>
                <w:lang w:val="en-US" w:eastAsia="zh-CN" w:bidi="ar"/>
              </w:rPr>
              <w:t xml:space="preserve"> </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 xml:space="preserve">0 </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18</w:t>
            </w:r>
            <w:r>
              <w:rPr>
                <w:rFonts w:hint="eastAsia" w:ascii="宋体" w:hAnsi="宋体" w:eastAsia="宋体" w:cs="宋体"/>
                <w:i w:val="0"/>
                <w:iCs w:val="0"/>
                <w:color w:val="000000"/>
                <w:kern w:val="0"/>
                <w:sz w:val="22"/>
                <w:szCs w:val="22"/>
                <w:u w:val="none"/>
                <w:lang w:val="en-US" w:eastAsia="zh-CN" w:bidi="ar"/>
              </w:rPr>
              <w:t xml:space="preserve"> </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 xml:space="preserve"> </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21</w:t>
            </w:r>
            <w:r>
              <w:rPr>
                <w:rFonts w:hint="eastAsia" w:ascii="宋体" w:hAnsi="宋体" w:eastAsia="宋体" w:cs="宋体"/>
                <w:i w:val="0"/>
                <w:iCs w:val="0"/>
                <w:color w:val="000000"/>
                <w:kern w:val="0"/>
                <w:sz w:val="22"/>
                <w:szCs w:val="22"/>
                <w:u w:val="none"/>
                <w:lang w:val="en-US" w:eastAsia="zh-CN" w:bidi="ar"/>
              </w:rPr>
              <w:t xml:space="preserve"> </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 xml:space="preserve"> </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14</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842"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中级</w:t>
            </w:r>
          </w:p>
        </w:tc>
        <w:tc>
          <w:tcPr>
            <w:tcW w:w="62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i w:val="0"/>
                <w:iCs w:val="0"/>
                <w:color w:val="000000"/>
                <w:kern w:val="0"/>
                <w:sz w:val="22"/>
                <w:szCs w:val="22"/>
                <w:u w:val="none"/>
                <w:lang w:val="en-US" w:eastAsia="zh-CN" w:bidi="ar"/>
              </w:rPr>
              <w:t>28</w:t>
            </w:r>
            <w:r>
              <w:rPr>
                <w:rFonts w:hint="eastAsia" w:ascii="宋体" w:hAnsi="宋体" w:eastAsia="宋体" w:cs="宋体"/>
                <w:b/>
                <w:bCs/>
                <w:i w:val="0"/>
                <w:iCs w:val="0"/>
                <w:color w:val="000000"/>
                <w:kern w:val="0"/>
                <w:sz w:val="22"/>
                <w:szCs w:val="22"/>
                <w:u w:val="none"/>
                <w:lang w:val="en-US" w:eastAsia="zh-CN" w:bidi="ar"/>
              </w:rPr>
              <w:t xml:space="preserve"> </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14</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 xml:space="preserve"> </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22</w:t>
            </w:r>
            <w:r>
              <w:rPr>
                <w:rFonts w:hint="eastAsia" w:ascii="宋体" w:hAnsi="宋体" w:eastAsia="宋体" w:cs="宋体"/>
                <w:i w:val="0"/>
                <w:iCs w:val="0"/>
                <w:color w:val="000000"/>
                <w:kern w:val="0"/>
                <w:sz w:val="22"/>
                <w:szCs w:val="22"/>
                <w:u w:val="none"/>
                <w:lang w:val="en-US" w:eastAsia="zh-CN" w:bidi="ar"/>
              </w:rPr>
              <w:t xml:space="preserve"> </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 xml:space="preserve"> </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842"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w:t>
            </w:r>
          </w:p>
        </w:tc>
        <w:tc>
          <w:tcPr>
            <w:tcW w:w="62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i w:val="0"/>
                <w:iCs w:val="0"/>
                <w:color w:val="000000"/>
                <w:kern w:val="0"/>
                <w:sz w:val="22"/>
                <w:szCs w:val="22"/>
                <w:u w:val="none"/>
                <w:lang w:val="en-US" w:eastAsia="zh-CN" w:bidi="ar"/>
              </w:rPr>
              <w:t>17</w:t>
            </w:r>
            <w:r>
              <w:rPr>
                <w:rFonts w:hint="eastAsia" w:ascii="宋体" w:hAnsi="宋体" w:eastAsia="宋体" w:cs="宋体"/>
                <w:b/>
                <w:bCs/>
                <w:i w:val="0"/>
                <w:iCs w:val="0"/>
                <w:color w:val="000000"/>
                <w:kern w:val="0"/>
                <w:sz w:val="22"/>
                <w:szCs w:val="22"/>
                <w:u w:val="none"/>
                <w:lang w:val="en-US" w:eastAsia="zh-CN" w:bidi="ar"/>
              </w:rPr>
              <w:t xml:space="preserve"> </w:t>
            </w:r>
          </w:p>
        </w:tc>
        <w:tc>
          <w:tcPr>
            <w:tcW w:w="9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17</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 xml:space="preserve"> </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12</w:t>
            </w:r>
          </w:p>
        </w:tc>
        <w:tc>
          <w:tcPr>
            <w:tcW w:w="7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13</w:t>
            </w:r>
            <w:r>
              <w:rPr>
                <w:rFonts w:hint="eastAsia" w:ascii="宋体" w:hAnsi="宋体" w:eastAsia="宋体" w:cs="宋体"/>
                <w:i w:val="0"/>
                <w:iCs w:val="0"/>
                <w:color w:val="000000"/>
                <w:kern w:val="0"/>
                <w:sz w:val="22"/>
                <w:szCs w:val="22"/>
                <w:u w:val="none"/>
                <w:lang w:val="en-US" w:eastAsia="zh-CN" w:bidi="ar"/>
              </w:rPr>
              <w:t xml:space="preserve"> </w:t>
            </w:r>
          </w:p>
        </w:tc>
        <w:tc>
          <w:tcPr>
            <w:tcW w:w="9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842"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62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i w:val="0"/>
                <w:iCs w:val="0"/>
                <w:color w:val="000000"/>
                <w:kern w:val="0"/>
                <w:sz w:val="22"/>
                <w:szCs w:val="22"/>
                <w:u w:val="none"/>
                <w:lang w:val="en-US" w:eastAsia="zh-CN" w:bidi="ar"/>
              </w:rPr>
              <w:t>88</w:t>
            </w:r>
            <w:r>
              <w:rPr>
                <w:rFonts w:hint="eastAsia" w:ascii="宋体" w:hAnsi="宋体" w:eastAsia="宋体" w:cs="宋体"/>
                <w:b/>
                <w:bCs/>
                <w:i w:val="0"/>
                <w:iCs w:val="0"/>
                <w:color w:val="000000"/>
                <w:kern w:val="0"/>
                <w:sz w:val="22"/>
                <w:szCs w:val="22"/>
                <w:u w:val="none"/>
                <w:lang w:val="en-US" w:eastAsia="zh-CN" w:bidi="ar"/>
              </w:rPr>
              <w:t xml:space="preserve"> </w:t>
            </w:r>
          </w:p>
        </w:tc>
        <w:tc>
          <w:tcPr>
            <w:tcW w:w="98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0</w:t>
            </w:r>
          </w:p>
        </w:tc>
        <w:tc>
          <w:tcPr>
            <w:tcW w:w="85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27</w:t>
            </w:r>
          </w:p>
        </w:tc>
        <w:tc>
          <w:tcPr>
            <w:tcW w:w="828"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25</w:t>
            </w:r>
          </w:p>
        </w:tc>
        <w:tc>
          <w:tcPr>
            <w:tcW w:w="85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33</w:t>
            </w:r>
          </w:p>
        </w:tc>
        <w:tc>
          <w:tcPr>
            <w:tcW w:w="79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0</w:t>
            </w:r>
          </w:p>
        </w:tc>
        <w:tc>
          <w:tcPr>
            <w:tcW w:w="85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11</w:t>
            </w:r>
          </w:p>
        </w:tc>
        <w:tc>
          <w:tcPr>
            <w:tcW w:w="780"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58</w:t>
            </w:r>
          </w:p>
        </w:tc>
        <w:tc>
          <w:tcPr>
            <w:tcW w:w="797"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14</w:t>
            </w:r>
          </w:p>
        </w:tc>
        <w:tc>
          <w:tcPr>
            <w:tcW w:w="133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47</w:t>
            </w:r>
          </w:p>
        </w:tc>
        <w:tc>
          <w:tcPr>
            <w:tcW w:w="907"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w:t>
            </w:r>
          </w:p>
        </w:tc>
      </w:tr>
    </w:tbl>
    <w:p>
      <w:pPr>
        <w:pStyle w:val="8"/>
        <w:widowControl/>
        <w:numPr>
          <w:ilvl w:val="0"/>
          <w:numId w:val="0"/>
        </w:numPr>
        <w:spacing w:beforeAutospacing="0" w:afterAutospacing="0" w:line="360" w:lineRule="auto"/>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3.兼职硕导：外单位兼职本校硕士生导师的人</w:t>
      </w:r>
    </w:p>
    <w:p>
      <w:pPr>
        <w:pStyle w:val="8"/>
        <w:widowControl/>
        <w:numPr>
          <w:ilvl w:val="0"/>
          <w:numId w:val="0"/>
        </w:numPr>
        <w:spacing w:beforeAutospacing="0" w:afterAutospacing="0" w:line="360" w:lineRule="auto"/>
        <w:ind w:firstLine="640" w:firstLineChars="200"/>
        <w:jc w:val="both"/>
        <w:rPr>
          <w:rFonts w:hint="eastAsia" w:ascii="仿宋" w:hAnsi="仿宋" w:eastAsia="仿宋" w:cs="仿宋"/>
          <w:b w:val="0"/>
          <w:bCs w:val="0"/>
          <w:sz w:val="32"/>
          <w:szCs w:val="32"/>
          <w:lang w:val="en-US" w:eastAsia="zh-CN"/>
        </w:rPr>
      </w:pPr>
    </w:p>
    <w:p>
      <w:pPr>
        <w:pStyle w:val="13"/>
        <w:numPr>
          <w:ilvl w:val="0"/>
          <w:numId w:val="0"/>
        </w:numPr>
        <w:rPr>
          <w:rFonts w:hint="eastAsia"/>
          <w:b/>
          <w:bCs/>
          <w:sz w:val="32"/>
          <w:szCs w:val="32"/>
          <w:lang w:val="en-US" w:eastAsia="zh-CN"/>
        </w:rPr>
      </w:pPr>
      <w:r>
        <w:rPr>
          <w:rFonts w:hint="eastAsia" w:ascii="仿宋" w:hAnsi="仿宋" w:eastAsia="仿宋" w:cs="仿宋"/>
          <w:b/>
          <w:bCs/>
          <w:sz w:val="32"/>
          <w:szCs w:val="32"/>
          <w:lang w:val="en-US" w:eastAsia="zh-CN"/>
        </w:rPr>
        <w:t>（六）师德师风建设</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学校一贯重视师德师风建设，</w:t>
      </w:r>
      <w:r>
        <w:rPr>
          <w:rFonts w:hint="eastAsia" w:ascii="仿宋" w:hAnsi="仿宋" w:eastAsia="仿宋" w:cs="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AAA9
</w:fldData>
        </w:fldChar>
      </w:r>
      <w:r>
        <w:rPr>
          <w:rFonts w:hint="eastAsia" w:ascii="仿宋" w:hAnsi="仿宋" w:eastAsia="仿宋" w:cs="仿宋"/>
          <w:sz w:val="32"/>
          <w:szCs w:val="32"/>
        </w:rPr>
        <w:instrText xml:space="preserve">ADDIN CNKISM.UserStyle</w:instrText>
      </w:r>
      <w:r>
        <w:rPr>
          <w:rFonts w:hint="eastAsia" w:ascii="仿宋" w:hAnsi="仿宋" w:eastAsia="仿宋" w:cs="仿宋"/>
          <w:sz w:val="32"/>
          <w:szCs w:val="32"/>
        </w:rPr>
        <w:fldChar w:fldCharType="end"/>
      </w:r>
      <w:r>
        <w:rPr>
          <w:rFonts w:hint="eastAsia" w:ascii="仿宋" w:hAnsi="仿宋" w:eastAsia="仿宋" w:cs="仿宋"/>
          <w:sz w:val="32"/>
          <w:szCs w:val="32"/>
        </w:rPr>
        <w:t>在教育和管理工作中以“立德树人”作为根本任务，坚决贯彻落实“全员育人、全过程育人、全方位育人”的“三全育人”机制。通过不断强化研究生培养教育过程中“导师是第一负责人”的理念，加强研究生的学术诚信教育和学风建设等工作，从而在教书育人、管理育人、服务育人的过程中达到合力育人的成效。</w:t>
      </w:r>
    </w:p>
    <w:p>
      <w:pPr>
        <w:spacing w:line="500" w:lineRule="exact"/>
        <w:ind w:firstLine="640" w:firstLineChars="200"/>
        <w:rPr>
          <w:rFonts w:hint="eastAsia" w:ascii="仿宋" w:hAnsi="仿宋" w:eastAsia="仿宋" w:cs="仿宋"/>
          <w:b w:val="0"/>
          <w:bCs w:val="0"/>
          <w:sz w:val="32"/>
          <w:szCs w:val="32"/>
          <w:lang w:val="en-US" w:eastAsia="zh-CN"/>
        </w:rPr>
        <w:sectPr>
          <w:pgSz w:w="11906" w:h="16838"/>
          <w:pgMar w:top="1800" w:right="1440" w:bottom="1800" w:left="1440" w:header="851" w:footer="992" w:gutter="0"/>
          <w:cols w:space="425" w:num="1"/>
          <w:docGrid w:type="lines" w:linePitch="312" w:charSpace="0"/>
        </w:sectPr>
      </w:pPr>
      <w:r>
        <w:rPr>
          <w:rFonts w:hint="eastAsia" w:ascii="仿宋" w:hAnsi="仿宋" w:eastAsia="仿宋" w:cs="仿宋"/>
          <w:sz w:val="32"/>
          <w:szCs w:val="32"/>
        </w:rPr>
        <w:t>学校先后成立了思想政治教育工作、意识形态工作、思想政治理论课建设工作等领导小组，落实了《西安体育学院全面落实研究生导师立德树人职责实施细则》，积极创建新时代“三全育人”新思路、新办法，全力构建“三全育人”体系，推动新时代下思想政治教育工作创新发展。建设采取导师负责制</w:t>
      </w:r>
      <w:r>
        <w:rPr>
          <w:rFonts w:hint="eastAsia" w:ascii="仿宋" w:hAnsi="仿宋" w:eastAsia="仿宋" w:cs="仿宋"/>
          <w:sz w:val="32"/>
          <w:szCs w:val="32"/>
          <w:lang w:eastAsia="zh-CN"/>
        </w:rPr>
        <w:t>，</w:t>
      </w:r>
      <w:r>
        <w:rPr>
          <w:rFonts w:hint="eastAsia" w:ascii="仿宋" w:hAnsi="仿宋" w:eastAsia="仿宋" w:cs="仿宋"/>
          <w:sz w:val="32"/>
          <w:szCs w:val="32"/>
        </w:rPr>
        <w:t>充分发挥</w:t>
      </w:r>
    </w:p>
    <w:p>
      <w:pPr>
        <w:spacing w:line="500" w:lineRule="exact"/>
        <w:rPr>
          <w:rFonts w:ascii="仿宋" w:hAnsi="仿宋" w:eastAsia="仿宋" w:cs="仿宋"/>
          <w:sz w:val="32"/>
          <w:szCs w:val="32"/>
        </w:rPr>
      </w:pPr>
      <w:r>
        <w:rPr>
          <w:rFonts w:hint="eastAsia" w:ascii="仿宋" w:hAnsi="仿宋" w:eastAsia="仿宋" w:cs="仿宋"/>
          <w:sz w:val="32"/>
          <w:szCs w:val="32"/>
        </w:rPr>
        <w:t>研究生的主动性和导师的主导作用。始终把思想政治教育放在人才培养首位，坚持思想政治教育的政治引领和价值引领作用，将社会主义核心价值观贯穿于教育全过程，积极推进思政课程改革，不断挖掘思政课程新元素。坚持教书与育人相统一，提倡校内外相结合，开展思政、学术道德、学术诚信教育，充分体现体育育人的根本要求。</w:t>
      </w:r>
    </w:p>
    <w:p>
      <w:pPr>
        <w:spacing w:line="500" w:lineRule="exact"/>
        <w:ind w:firstLine="640" w:firstLineChars="200"/>
        <w:rPr>
          <w:rFonts w:hint="eastAsia"/>
          <w:b/>
          <w:bCs/>
          <w:sz w:val="24"/>
          <w:szCs w:val="24"/>
          <w:lang w:val="en-US" w:eastAsia="zh-CN"/>
        </w:rPr>
      </w:pPr>
      <w:r>
        <w:rPr>
          <w:rFonts w:hint="eastAsia" w:ascii="仿宋" w:hAnsi="仿宋" w:eastAsia="仿宋" w:cs="仿宋"/>
          <w:sz w:val="32"/>
          <w:szCs w:val="32"/>
        </w:rPr>
        <w:t>通过开展“红色体育知识讲座”、“红色体育电影展播”“红色体育图片展”等活动，将学习和继承红色体育文化、弘扬红色体育精神纳入研究生教育教学内容中，增强了师生不忘初心、牢记使命的责任感和使命感。近年来，为西部地区及其基层单位培养一批高素质体育人才，有力支撑了区域经济社会发展对体育专门人才的需求。在读研究生也紧紧围绕“奥运争光”、“全运夺金”计划，以“健康陕西”、“体育强省”的发展战略为依托，充分发挥学校“教科研训”四位一体的特色优势，服务国家及地方需求，为国家和区域体育社会经济文化发展做出了积极贡献，代表学校在竞技体育、全民健身、体育教育等方面取得优异成绩。</w:t>
      </w:r>
    </w:p>
    <w:p>
      <w:pPr>
        <w:pStyle w:val="13"/>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（七）学生就业情况</w:t>
      </w:r>
    </w:p>
    <w:p>
      <w:pPr>
        <w:autoSpaceDE w:val="0"/>
        <w:autoSpaceDN w:val="0"/>
        <w:spacing w:before="54" w:line="500" w:lineRule="exact"/>
        <w:ind w:firstLine="624" w:firstLineChars="200"/>
        <w:rPr>
          <w:rFonts w:hint="eastAsia" w:ascii="仿宋" w:hAnsi="仿宋" w:eastAsia="仿宋" w:cs="仿宋"/>
          <w:color w:val="000000" w:themeColor="text1"/>
          <w:spacing w:val="-4"/>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lang w:val="en-US" w:eastAsia="zh-CN"/>
          <w14:textFill>
            <w14:solidFill>
              <w14:schemeClr w14:val="tx1"/>
            </w14:solidFill>
          </w14:textFill>
        </w:rPr>
        <w:t>（体育学）</w:t>
      </w:r>
      <w:r>
        <w:rPr>
          <w:rFonts w:hint="eastAsia" w:ascii="仿宋" w:hAnsi="仿宋" w:eastAsia="仿宋" w:cs="仿宋"/>
          <w:color w:val="000000" w:themeColor="text1"/>
          <w:spacing w:val="-4"/>
          <w:kern w:val="0"/>
          <w:sz w:val="32"/>
          <w:szCs w:val="32"/>
          <w14:textFill>
            <w14:solidFill>
              <w14:schemeClr w14:val="tx1"/>
            </w14:solidFill>
          </w14:textFill>
        </w:rPr>
        <w:t>202</w:t>
      </w:r>
      <w:r>
        <w:rPr>
          <w:rFonts w:hint="eastAsia" w:ascii="仿宋" w:hAnsi="仿宋" w:eastAsia="仿宋" w:cs="仿宋"/>
          <w:color w:val="000000" w:themeColor="text1"/>
          <w:spacing w:val="-4"/>
          <w:kern w:val="0"/>
          <w:sz w:val="32"/>
          <w:szCs w:val="32"/>
          <w:lang w:val="en-US" w:eastAsia="zh-CN"/>
          <w14:textFill>
            <w14:solidFill>
              <w14:schemeClr w14:val="tx1"/>
            </w14:solidFill>
          </w14:textFill>
        </w:rPr>
        <w:t>2</w:t>
      </w:r>
      <w:r>
        <w:rPr>
          <w:rFonts w:hint="eastAsia" w:ascii="仿宋" w:hAnsi="仿宋" w:eastAsia="仿宋" w:cs="仿宋"/>
          <w:color w:val="000000" w:themeColor="text1"/>
          <w:spacing w:val="-4"/>
          <w:kern w:val="0"/>
          <w:sz w:val="32"/>
          <w:szCs w:val="32"/>
          <w14:textFill>
            <w14:solidFill>
              <w14:schemeClr w14:val="tx1"/>
            </w14:solidFill>
          </w14:textFill>
        </w:rPr>
        <w:t>年西安体育学院研究生共毕业</w:t>
      </w:r>
      <w:r>
        <w:rPr>
          <w:rFonts w:hint="eastAsia" w:ascii="仿宋" w:hAnsi="仿宋" w:eastAsia="仿宋" w:cs="仿宋"/>
          <w:color w:val="000000" w:themeColor="text1"/>
          <w:spacing w:val="-4"/>
          <w:kern w:val="0"/>
          <w:sz w:val="32"/>
          <w:szCs w:val="32"/>
          <w:lang w:val="en-US" w:eastAsia="zh-CN"/>
          <w14:textFill>
            <w14:solidFill>
              <w14:schemeClr w14:val="tx1"/>
            </w14:solidFill>
          </w14:textFill>
        </w:rPr>
        <w:t>135</w:t>
      </w:r>
      <w:r>
        <w:rPr>
          <w:rFonts w:hint="eastAsia" w:ascii="仿宋" w:hAnsi="仿宋" w:eastAsia="仿宋" w:cs="仿宋"/>
          <w:color w:val="000000" w:themeColor="text1"/>
          <w:spacing w:val="-4"/>
          <w:kern w:val="0"/>
          <w:sz w:val="32"/>
          <w:szCs w:val="32"/>
          <w14:textFill>
            <w14:solidFill>
              <w14:schemeClr w14:val="tx1"/>
            </w14:solidFill>
          </w14:textFill>
        </w:rPr>
        <w:t>人，其中有</w:t>
      </w:r>
      <w:r>
        <w:rPr>
          <w:rFonts w:hint="eastAsia" w:ascii="仿宋" w:hAnsi="仿宋" w:eastAsia="仿宋" w:cs="仿宋"/>
          <w:color w:val="000000" w:themeColor="text1"/>
          <w:spacing w:val="-4"/>
          <w:kern w:val="0"/>
          <w:sz w:val="32"/>
          <w:szCs w:val="32"/>
          <w:lang w:val="en-US" w:eastAsia="zh-CN"/>
          <w14:textFill>
            <w14:solidFill>
              <w14:schemeClr w14:val="tx1"/>
            </w14:solidFill>
          </w14:textFill>
        </w:rPr>
        <w:t>111</w:t>
      </w:r>
      <w:r>
        <w:rPr>
          <w:rFonts w:hint="eastAsia" w:ascii="仿宋" w:hAnsi="仿宋" w:eastAsia="仿宋" w:cs="仿宋"/>
          <w:color w:val="000000" w:themeColor="text1"/>
          <w:spacing w:val="-4"/>
          <w:kern w:val="0"/>
          <w:sz w:val="32"/>
          <w:szCs w:val="32"/>
          <w14:textFill>
            <w14:solidFill>
              <w14:schemeClr w14:val="tx1"/>
            </w14:solidFill>
          </w14:textFill>
        </w:rPr>
        <w:t>人与用人单位成功签约。详情见</w:t>
      </w:r>
      <w:r>
        <w:rPr>
          <w:rFonts w:hint="eastAsia" w:ascii="仿宋" w:hAnsi="仿宋" w:eastAsia="仿宋" w:cs="仿宋"/>
          <w:color w:val="000000" w:themeColor="text1"/>
          <w:spacing w:val="-4"/>
          <w:kern w:val="0"/>
          <w:sz w:val="32"/>
          <w:szCs w:val="32"/>
          <w:lang w:eastAsia="zh-CN"/>
          <w14:textFill>
            <w14:solidFill>
              <w14:schemeClr w14:val="tx1"/>
            </w14:solidFill>
          </w14:textFill>
        </w:rPr>
        <w:t>下表</w:t>
      </w:r>
      <w:r>
        <w:rPr>
          <w:rFonts w:hint="eastAsia" w:ascii="仿宋" w:hAnsi="仿宋" w:eastAsia="仿宋" w:cs="仿宋"/>
          <w:color w:val="000000" w:themeColor="text1"/>
          <w:spacing w:val="-4"/>
          <w:kern w:val="0"/>
          <w:sz w:val="32"/>
          <w:szCs w:val="32"/>
          <w14:textFill>
            <w14:solidFill>
              <w14:schemeClr w14:val="tx1"/>
            </w14:solidFill>
          </w14:textFill>
        </w:rPr>
        <w:t>：</w:t>
      </w:r>
    </w:p>
    <w:p>
      <w:pPr>
        <w:autoSpaceDE w:val="0"/>
        <w:autoSpaceDN w:val="0"/>
        <w:spacing w:beforeLines="50" w:afterLines="40" w:line="500" w:lineRule="exact"/>
        <w:jc w:val="center"/>
        <w:rPr>
          <w:rFonts w:ascii="Times New Roman" w:hAnsi="Times New Roman" w:eastAsia="仿宋_GB2312" w:cs="Times New Roman"/>
          <w:b/>
          <w:bCs/>
          <w:color w:val="000000" w:themeColor="text1"/>
          <w:spacing w:val="-4"/>
          <w:kern w:val="0"/>
          <w:sz w:val="28"/>
          <w:szCs w:val="28"/>
          <w14:textFill>
            <w14:solidFill>
              <w14:schemeClr w14:val="tx1"/>
            </w14:solidFill>
          </w14:textFill>
        </w:rPr>
      </w:pPr>
      <w:r>
        <w:rPr>
          <w:rFonts w:ascii="Times New Roman" w:hAnsi="Times New Roman" w:eastAsia="仿宋_GB2312" w:cs="Times New Roman"/>
          <w:b/>
          <w:bCs/>
          <w:color w:val="000000" w:themeColor="text1"/>
          <w:spacing w:val="-4"/>
          <w:kern w:val="0"/>
          <w:sz w:val="28"/>
          <w:szCs w:val="28"/>
          <w14:textFill>
            <w14:solidFill>
              <w14:schemeClr w14:val="tx1"/>
            </w14:solidFill>
          </w14:textFill>
        </w:rPr>
        <w:t>西安体育学院研究生毕业签约情况一览表</w:t>
      </w:r>
    </w:p>
    <w:tbl>
      <w:tblPr>
        <w:tblStyle w:val="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908"/>
        <w:gridCol w:w="2481"/>
        <w:gridCol w:w="1831"/>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10" w:hRule="atLeast"/>
          <w:jc w:val="center"/>
        </w:trPr>
        <w:tc>
          <w:tcPr>
            <w:tcW w:w="1606"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学科、专业</w:t>
            </w:r>
          </w:p>
        </w:tc>
        <w:tc>
          <w:tcPr>
            <w:tcW w:w="1370"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毕业人数</w:t>
            </w:r>
          </w:p>
        </w:tc>
        <w:tc>
          <w:tcPr>
            <w:tcW w:w="1011"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签约人数</w:t>
            </w:r>
          </w:p>
        </w:tc>
        <w:tc>
          <w:tcPr>
            <w:tcW w:w="1011"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27" w:hRule="atLeast"/>
          <w:jc w:val="center"/>
        </w:trPr>
        <w:tc>
          <w:tcPr>
            <w:tcW w:w="1606" w:type="pct"/>
            <w:shd w:val="clear" w:color="auto" w:fill="FFFFFF" w:themeFill="background1"/>
          </w:tcPr>
          <w:p>
            <w:pPr>
              <w:autoSpaceDE w:val="0"/>
              <w:autoSpaceDN w:val="0"/>
              <w:spacing w:afterLines="20" w:line="460" w:lineRule="exact"/>
              <w:jc w:val="center"/>
              <w:rPr>
                <w:rFonts w:hint="eastAsia" w:ascii="Times New Roman" w:hAnsi="Times New Roman" w:eastAsia="仿宋_GB2312" w:cs="Times New Roman"/>
                <w:color w:val="000000" w:themeColor="text1"/>
                <w:spacing w:val="-4"/>
                <w:kern w:val="0"/>
                <w:sz w:val="24"/>
                <w:szCs w:val="24"/>
                <w:lang w:eastAsia="zh-CN"/>
                <w14:textFill>
                  <w14:solidFill>
                    <w14:schemeClr w14:val="tx1"/>
                  </w14:solidFill>
                </w14:textFill>
              </w:rPr>
            </w:pPr>
            <w:r>
              <w:rPr>
                <w:rFonts w:hint="eastAsia" w:eastAsia="仿宋_GB2312" w:cs="Times New Roman"/>
                <w:color w:val="000000" w:themeColor="text1"/>
                <w:spacing w:val="-4"/>
                <w:kern w:val="0"/>
                <w:sz w:val="24"/>
                <w:szCs w:val="24"/>
                <w:lang w:eastAsia="zh-CN"/>
                <w14:textFill>
                  <w14:solidFill>
                    <w14:schemeClr w14:val="tx1"/>
                  </w14:solidFill>
                </w14:textFill>
              </w:rPr>
              <w:t>体育学</w:t>
            </w:r>
          </w:p>
        </w:tc>
        <w:tc>
          <w:tcPr>
            <w:tcW w:w="1370" w:type="pct"/>
            <w:shd w:val="clear" w:color="auto" w:fill="FFFFFF" w:themeFill="background1"/>
            <w:vAlign w:val="center"/>
          </w:tcPr>
          <w:p>
            <w:pPr>
              <w:autoSpaceDE w:val="0"/>
              <w:autoSpaceDN w:val="0"/>
              <w:spacing w:afterLines="20" w:line="460" w:lineRule="exact"/>
              <w:jc w:val="center"/>
              <w:rPr>
                <w:rFonts w:ascii="Times New Roman" w:hAnsi="Times New Roman" w:cs="Times New Roman" w:eastAsiaTheme="minorEastAsia"/>
                <w:color w:val="000000" w:themeColor="text1"/>
                <w:spacing w:val="-4"/>
                <w:kern w:val="0"/>
                <w:sz w:val="24"/>
                <w:szCs w:val="24"/>
                <w:lang w:val="en-US" w:eastAsia="zh-CN" w:bidi="ar-SA"/>
                <w14:textFill>
                  <w14:solidFill>
                    <w14:schemeClr w14:val="tx1"/>
                  </w14:solidFill>
                </w14:textFill>
              </w:rPr>
            </w:pPr>
            <w:r>
              <w:rPr>
                <w:rFonts w:hint="eastAsia" w:eastAsiaTheme="minorEastAsia"/>
                <w:color w:val="000000" w:themeColor="text1"/>
                <w:spacing w:val="-4"/>
                <w:kern w:val="0"/>
                <w:sz w:val="24"/>
                <w14:textFill>
                  <w14:solidFill>
                    <w14:schemeClr w14:val="tx1"/>
                  </w14:solidFill>
                </w14:textFill>
              </w:rPr>
              <w:t>135</w:t>
            </w:r>
          </w:p>
        </w:tc>
        <w:tc>
          <w:tcPr>
            <w:tcW w:w="1011" w:type="pct"/>
            <w:shd w:val="clear" w:color="auto" w:fill="FFFFFF" w:themeFill="background1"/>
            <w:vAlign w:val="center"/>
          </w:tcPr>
          <w:p>
            <w:pPr>
              <w:autoSpaceDE w:val="0"/>
              <w:autoSpaceDN w:val="0"/>
              <w:spacing w:afterLines="20" w:line="460" w:lineRule="exact"/>
              <w:jc w:val="center"/>
              <w:rPr>
                <w:rFonts w:ascii="Times New Roman" w:hAnsi="Times New Roman" w:cs="Times New Roman" w:eastAsiaTheme="minorEastAsia"/>
                <w:color w:val="000000" w:themeColor="text1"/>
                <w:spacing w:val="-4"/>
                <w:kern w:val="0"/>
                <w:sz w:val="24"/>
                <w:szCs w:val="24"/>
                <w:lang w:val="en-US" w:eastAsia="zh-CN" w:bidi="ar-SA"/>
                <w14:textFill>
                  <w14:solidFill>
                    <w14:schemeClr w14:val="tx1"/>
                  </w14:solidFill>
                </w14:textFill>
              </w:rPr>
            </w:pPr>
            <w:r>
              <w:rPr>
                <w:rFonts w:hint="eastAsia" w:eastAsiaTheme="minorEastAsia"/>
                <w:color w:val="000000" w:themeColor="text1"/>
                <w:spacing w:val="-4"/>
                <w:kern w:val="0"/>
                <w:sz w:val="24"/>
                <w14:textFill>
                  <w14:solidFill>
                    <w14:schemeClr w14:val="tx1"/>
                  </w14:solidFill>
                </w14:textFill>
              </w:rPr>
              <w:t>111</w:t>
            </w:r>
          </w:p>
        </w:tc>
        <w:tc>
          <w:tcPr>
            <w:tcW w:w="1011" w:type="pct"/>
            <w:shd w:val="clear" w:color="auto" w:fill="FFFFFF" w:themeFill="background1"/>
            <w:vAlign w:val="center"/>
          </w:tcPr>
          <w:p>
            <w:pPr>
              <w:autoSpaceDE w:val="0"/>
              <w:autoSpaceDN w:val="0"/>
              <w:spacing w:afterLines="20" w:line="460" w:lineRule="exact"/>
              <w:jc w:val="center"/>
              <w:rPr>
                <w:rFonts w:ascii="Times New Roman" w:hAnsi="Times New Roman" w:cs="Times New Roman" w:eastAsiaTheme="minorEastAsia"/>
                <w:color w:val="000000" w:themeColor="text1"/>
                <w:spacing w:val="-4"/>
                <w:kern w:val="0"/>
                <w:sz w:val="24"/>
                <w:szCs w:val="24"/>
                <w:lang w:val="en-US" w:eastAsia="zh-CN" w:bidi="ar-SA"/>
                <w14:textFill>
                  <w14:solidFill>
                    <w14:schemeClr w14:val="tx1"/>
                  </w14:solidFill>
                </w14:textFill>
              </w:rPr>
            </w:pPr>
            <w:r>
              <w:rPr>
                <w:rFonts w:hint="eastAsia" w:eastAsiaTheme="minorEastAsia"/>
                <w:color w:val="000000" w:themeColor="text1"/>
                <w:spacing w:val="-4"/>
                <w:kern w:val="0"/>
                <w:sz w:val="24"/>
                <w14:textFill>
                  <w14:solidFill>
                    <w14:schemeClr w14:val="tx1"/>
                  </w14:solidFill>
                </w14:textFill>
              </w:rPr>
              <w:t>82.22</w:t>
            </w:r>
          </w:p>
        </w:tc>
      </w:tr>
    </w:tbl>
    <w:p>
      <w:pPr>
        <w:autoSpaceDE w:val="0"/>
        <w:autoSpaceDN w:val="0"/>
        <w:spacing w:beforeLines="50" w:afterLines="40" w:line="500" w:lineRule="exact"/>
        <w:jc w:val="center"/>
        <w:rPr>
          <w:rFonts w:ascii="Times New Roman" w:hAnsi="Times New Roman" w:eastAsia="仿宋_GB2312" w:cs="Times New Roman"/>
          <w:b/>
          <w:bCs/>
          <w:color w:val="000000" w:themeColor="text1"/>
          <w:spacing w:val="-4"/>
          <w:kern w:val="0"/>
          <w:sz w:val="28"/>
          <w:szCs w:val="28"/>
          <w14:textFill>
            <w14:solidFill>
              <w14:schemeClr w14:val="tx1"/>
            </w14:solidFill>
          </w14:textFill>
        </w:rPr>
      </w:pPr>
      <w:r>
        <w:rPr>
          <w:rFonts w:ascii="Times New Roman" w:hAnsi="Times New Roman" w:eastAsia="仿宋_GB2312" w:cs="Times New Roman"/>
          <w:b/>
          <w:bCs/>
          <w:color w:val="000000" w:themeColor="text1"/>
          <w:spacing w:val="-4"/>
          <w:kern w:val="0"/>
          <w:sz w:val="28"/>
          <w:szCs w:val="28"/>
          <w14:textFill>
            <w14:solidFill>
              <w14:schemeClr w14:val="tx1"/>
            </w14:solidFill>
          </w14:textFill>
        </w:rPr>
        <w:t>西安体育学院研究生就业去向情况一览表</w:t>
      </w:r>
    </w:p>
    <w:tbl>
      <w:tblPr>
        <w:tblStyle w:val="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644"/>
        <w:gridCol w:w="2191"/>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用人单位性质</w:t>
            </w:r>
            <w:r>
              <w:rPr>
                <w:rFonts w:hint="eastAsia" w:ascii="Times New Roman" w:hAnsi="Times New Roman" w:eastAsia="等线" w:cs="Times New Roman"/>
                <w:b/>
                <w:color w:val="000000" w:themeColor="text1"/>
                <w:sz w:val="26"/>
                <w:szCs w:val="26"/>
                <w14:textFill>
                  <w14:solidFill>
                    <w14:schemeClr w14:val="tx1"/>
                  </w14:solidFill>
                </w14:textFill>
              </w:rPr>
              <w:t xml:space="preserve"> </w:t>
            </w:r>
          </w:p>
        </w:tc>
        <w:tc>
          <w:tcPr>
            <w:tcW w:w="1210" w:type="pct"/>
            <w:shd w:val="clear" w:color="auto" w:fill="auto"/>
            <w:vAlign w:val="center"/>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人数</w:t>
            </w:r>
          </w:p>
        </w:tc>
        <w:tc>
          <w:tcPr>
            <w:tcW w:w="1776" w:type="pct"/>
            <w:shd w:val="clear" w:color="auto" w:fill="auto"/>
            <w:vAlign w:val="center"/>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占就业人数比例（%）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2"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机关</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6</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中、小学</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22</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高等院校</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42</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企业</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15</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升学</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5</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灵活就业</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11</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医疗卫生</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4</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其它</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6</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4.44</w:t>
            </w:r>
          </w:p>
        </w:tc>
      </w:tr>
    </w:tbl>
    <w:p>
      <w:pPr>
        <w:pStyle w:val="13"/>
      </w:pPr>
    </w:p>
    <w:p>
      <w:pPr>
        <w:numPr>
          <w:ilvl w:val="0"/>
          <w:numId w:val="0"/>
        </w:numPr>
        <w:spacing w:line="360" w:lineRule="auto"/>
        <w:rPr>
          <w:rFonts w:hint="eastAsia" w:ascii="黑体" w:hAnsi="黑体" w:eastAsia="黑体" w:cs="黑体"/>
          <w:bCs/>
          <w:sz w:val="28"/>
          <w:szCs w:val="28"/>
          <w:lang w:val="en-US" w:eastAsia="zh-CN"/>
        </w:rPr>
      </w:pPr>
    </w:p>
    <w:p>
      <w:pPr>
        <w:numPr>
          <w:ilvl w:val="0"/>
          <w:numId w:val="0"/>
        </w:numPr>
        <w:spacing w:line="360" w:lineRule="auto"/>
        <w:rPr>
          <w:rFonts w:hint="default"/>
          <w:sz w:val="32"/>
          <w:szCs w:val="32"/>
          <w:lang w:val="en-US" w:eastAsia="zh-CN"/>
        </w:rPr>
      </w:pPr>
      <w:r>
        <w:rPr>
          <w:rFonts w:hint="eastAsia" w:ascii="黑体" w:hAnsi="黑体" w:eastAsia="黑体" w:cs="黑体"/>
          <w:bCs/>
          <w:sz w:val="32"/>
          <w:szCs w:val="32"/>
          <w:lang w:val="en-US" w:eastAsia="zh-CN"/>
        </w:rPr>
        <w:t>三、科学研究情况</w:t>
      </w:r>
    </w:p>
    <w:p>
      <w:pPr>
        <w:pStyle w:val="13"/>
        <w:ind w:left="0" w:leftChars="0"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（一）专任教师公开出版的专著</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1.内容：统计时间段内学位点专任教师以第一完成人公开出版的具有较高学术水平的学术专著情况。</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2.专著名称：专著的主副标题，再版以最新版本为准。</w:t>
      </w:r>
    </w:p>
    <w:p>
      <w:pPr>
        <w:pStyle w:val="8"/>
        <w:widowControl/>
        <w:numPr>
          <w:ilvl w:val="0"/>
          <w:numId w:val="0"/>
        </w:numPr>
        <w:spacing w:beforeAutospacing="0" w:afterAutospacing="0" w:line="360" w:lineRule="auto"/>
        <w:ind w:leftChars="0" w:firstLine="640" w:firstLineChars="200"/>
        <w:jc w:val="both"/>
        <w:rPr>
          <w:rFonts w:hint="eastAsia" w:ascii="黑体" w:hAnsi="黑体" w:eastAsia="黑体" w:cs="黑体"/>
          <w:bCs/>
          <w:sz w:val="28"/>
          <w:szCs w:val="28"/>
          <w:lang w:val="en-US" w:eastAsia="zh-CN"/>
        </w:rPr>
      </w:pPr>
      <w:r>
        <w:rPr>
          <w:rFonts w:hint="eastAsia" w:ascii="仿宋" w:hAnsi="仿宋" w:eastAsia="仿宋" w:cs="仿宋"/>
          <w:b w:val="0"/>
          <w:bCs w:val="0"/>
          <w:sz w:val="32"/>
          <w:szCs w:val="32"/>
          <w:lang w:val="en-US" w:eastAsia="zh-CN"/>
        </w:rPr>
        <w:t>3.学术贡献及影响力：获奖情况等贡献和影响力说明，限50字。</w:t>
      </w:r>
    </w:p>
    <w:tbl>
      <w:tblPr>
        <w:tblStyle w:val="9"/>
        <w:tblpPr w:leftFromText="180" w:rightFromText="180" w:vertAnchor="text" w:horzAnchor="page" w:tblpX="1100" w:tblpY="228"/>
        <w:tblOverlap w:val="never"/>
        <w:tblW w:w="100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8"/>
        <w:gridCol w:w="1440"/>
        <w:gridCol w:w="1584"/>
        <w:gridCol w:w="1608"/>
        <w:gridCol w:w="1764"/>
        <w:gridCol w:w="2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768" w:type="dxa"/>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序号</w:t>
            </w:r>
          </w:p>
        </w:tc>
        <w:tc>
          <w:tcPr>
            <w:tcW w:w="1440"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专著名称</w:t>
            </w:r>
          </w:p>
        </w:tc>
        <w:tc>
          <w:tcPr>
            <w:tcW w:w="1584"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教师姓名</w:t>
            </w:r>
          </w:p>
        </w:tc>
        <w:tc>
          <w:tcPr>
            <w:tcW w:w="1608"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出版社</w:t>
            </w:r>
          </w:p>
        </w:tc>
        <w:tc>
          <w:tcPr>
            <w:tcW w:w="1764"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出版时间</w:t>
            </w:r>
          </w:p>
        </w:tc>
        <w:tc>
          <w:tcPr>
            <w:tcW w:w="2928"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学术贡献及影响力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76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学校体育学</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刘新民、王晓艳 </w:t>
            </w:r>
          </w:p>
        </w:tc>
        <w:tc>
          <w:tcPr>
            <w:tcW w:w="160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人民体育出版社</w:t>
            </w:r>
          </w:p>
        </w:tc>
        <w:tc>
          <w:tcPr>
            <w:tcW w:w="17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2022年2月</w:t>
            </w:r>
          </w:p>
        </w:tc>
        <w:tc>
          <w:tcPr>
            <w:tcW w:w="292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76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军事课教程</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于新彦、张刚</w:t>
            </w:r>
          </w:p>
        </w:tc>
        <w:tc>
          <w:tcPr>
            <w:tcW w:w="160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陕西科学技术出版社</w:t>
            </w:r>
          </w:p>
        </w:tc>
        <w:tc>
          <w:tcPr>
            <w:tcW w:w="17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2022年7月</w:t>
            </w:r>
          </w:p>
        </w:tc>
        <w:tc>
          <w:tcPr>
            <w:tcW w:w="292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76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3</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新时期高校体育教学及其课程体系改革研究</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王晓艳</w:t>
            </w:r>
          </w:p>
        </w:tc>
        <w:tc>
          <w:tcPr>
            <w:tcW w:w="160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吉林大学出版社</w:t>
            </w:r>
          </w:p>
        </w:tc>
        <w:tc>
          <w:tcPr>
            <w:tcW w:w="17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2022年3月</w:t>
            </w:r>
          </w:p>
        </w:tc>
        <w:tc>
          <w:tcPr>
            <w:tcW w:w="292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76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4</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城市基本公共体育服务力综合评价</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王秋茸</w:t>
            </w:r>
          </w:p>
        </w:tc>
        <w:tc>
          <w:tcPr>
            <w:tcW w:w="160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人民体育出版社</w:t>
            </w:r>
          </w:p>
        </w:tc>
        <w:tc>
          <w:tcPr>
            <w:tcW w:w="17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2022年1月</w:t>
            </w:r>
          </w:p>
        </w:tc>
        <w:tc>
          <w:tcPr>
            <w:tcW w:w="292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76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5</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青少年羽毛球训练方法汇编</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于新彦</w:t>
            </w:r>
          </w:p>
        </w:tc>
        <w:tc>
          <w:tcPr>
            <w:tcW w:w="160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陕西科学技术出版社</w:t>
            </w:r>
          </w:p>
        </w:tc>
        <w:tc>
          <w:tcPr>
            <w:tcW w:w="17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2022年9月</w:t>
            </w:r>
          </w:p>
        </w:tc>
        <w:tc>
          <w:tcPr>
            <w:tcW w:w="292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76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6</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游泳技能训练及水上救生技巧</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马莹</w:t>
            </w:r>
          </w:p>
        </w:tc>
        <w:tc>
          <w:tcPr>
            <w:tcW w:w="160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辽宁大学出版社</w:t>
            </w:r>
          </w:p>
        </w:tc>
        <w:tc>
          <w:tcPr>
            <w:tcW w:w="17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2022年6月</w:t>
            </w:r>
          </w:p>
        </w:tc>
        <w:tc>
          <w:tcPr>
            <w:tcW w:w="292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76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7</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科学拉伸</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李山</w:t>
            </w:r>
          </w:p>
        </w:tc>
        <w:tc>
          <w:tcPr>
            <w:tcW w:w="160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人民体育出版社</w:t>
            </w:r>
          </w:p>
        </w:tc>
        <w:tc>
          <w:tcPr>
            <w:tcW w:w="17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2022年10月</w:t>
            </w:r>
          </w:p>
        </w:tc>
        <w:tc>
          <w:tcPr>
            <w:tcW w:w="292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p>
        </w:tc>
      </w:tr>
    </w:tbl>
    <w:p>
      <w:pPr>
        <w:pStyle w:val="13"/>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（二）教师在国内外重要期刊发表的代表性论文</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1.内容：统计时间段内专任教师公开发表的代表性论文情况，每年限填50篇。</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2.作者类型：第一作者、通讯作者、其他。</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3.发表年份及卷（期）数：文章发表时间的标识，填报格式为“出版年，卷号（期）号”，如期刊无卷号，则为“出版年（期）号”。</w:t>
      </w:r>
    </w:p>
    <w:p>
      <w:pPr>
        <w:pStyle w:val="8"/>
        <w:widowControl/>
        <w:numPr>
          <w:ilvl w:val="0"/>
          <w:numId w:val="0"/>
        </w:numPr>
        <w:spacing w:beforeAutospacing="0" w:afterAutospacing="0" w:line="360" w:lineRule="auto"/>
        <w:ind w:leftChars="0" w:firstLine="640" w:firstLineChars="200"/>
        <w:jc w:val="both"/>
        <w:rPr>
          <w:rFonts w:hint="eastAsia"/>
          <w:lang w:val="en-US" w:eastAsia="zh-CN"/>
        </w:rPr>
      </w:pPr>
      <w:r>
        <w:rPr>
          <w:rFonts w:hint="eastAsia" w:ascii="仿宋" w:hAnsi="仿宋" w:eastAsia="仿宋" w:cs="仿宋"/>
          <w:b w:val="0"/>
          <w:bCs w:val="0"/>
          <w:sz w:val="32"/>
          <w:szCs w:val="32"/>
          <w:lang w:val="en-US" w:eastAsia="zh-CN"/>
        </w:rPr>
        <w:t>4.期刊收录情况：CSSCI、CSCD、SCI、SSCI、EI、A&amp;HCI、其他。</w:t>
      </w:r>
    </w:p>
    <w:tbl>
      <w:tblPr>
        <w:tblStyle w:val="9"/>
        <w:tblpPr w:leftFromText="180" w:rightFromText="180" w:vertAnchor="text" w:horzAnchor="page" w:tblpX="872" w:tblpY="2147"/>
        <w:tblOverlap w:val="never"/>
        <w:tblW w:w="10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8"/>
        <w:gridCol w:w="1416"/>
        <w:gridCol w:w="1513"/>
        <w:gridCol w:w="1296"/>
        <w:gridCol w:w="1451"/>
        <w:gridCol w:w="1932"/>
        <w:gridCol w:w="2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828" w:type="dxa"/>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序号</w:t>
            </w:r>
          </w:p>
        </w:tc>
        <w:tc>
          <w:tcPr>
            <w:tcW w:w="141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论文标题</w:t>
            </w:r>
          </w:p>
        </w:tc>
        <w:tc>
          <w:tcPr>
            <w:tcW w:w="1513"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作者姓名</w:t>
            </w:r>
          </w:p>
        </w:tc>
        <w:tc>
          <w:tcPr>
            <w:tcW w:w="129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作者类型</w:t>
            </w:r>
          </w:p>
        </w:tc>
        <w:tc>
          <w:tcPr>
            <w:tcW w:w="1451"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发表期刊</w:t>
            </w:r>
          </w:p>
        </w:tc>
        <w:tc>
          <w:tcPr>
            <w:tcW w:w="1932"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发表年份及卷(期)数</w:t>
            </w:r>
          </w:p>
        </w:tc>
        <w:tc>
          <w:tcPr>
            <w:tcW w:w="2064"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期刊收录情况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Deconstruction of the Prevention of Knee Osteoarthritis by Swimming Based on Data Mining Technology</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殷剑侠</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Biomed Research international </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2022年8月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体育参与何以提升中国城镇居民的生活质量？ —社会资本的中介效应</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张晓丽</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上海体育学院学报</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2022年4月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cssci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3</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基于扎根理论的中国退役运动员社会融合影响因素理论体系构建</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张晓丽</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西安体育学院学报</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2022年11月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cssci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4</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跳深时下肢伸肌群肌力变化特征研究</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李兆林</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西安体育学院学报</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2022年3月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cssci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5</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我国城镇居民文化资本、体育锻炼与主观健康关系研究——基于CGSS2017数据的实证分析</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肖红</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西安体育学院学报</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2022年10月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CSSCI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6</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Influence of Self-efficacy Improvement on Online Learning Participation（自我效能感提升干预下学生在线学习参与度影响研究）</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耿莉</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International Joural：Emerging Technologies in Learning</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7</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The Recommendation System of Innovation and Entrepreneurship Education Resources in Universities Based on Improved Collaborative Filtering Model（基于资源协同模型的高校创新创业教育体系构建模型研究）</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耿莉</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COMPUTATIONAL INTELLIGENCE AND NEUROSCIENCE</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2022年2月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8</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基于INSGA-II算法的武器-目标分配方法</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王楠</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云南大学学报</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2022年7月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cscd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9</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间歇运动对运动员心肌缺血再灌注损伤的保护作用</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王伟</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Biomed Research international </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2022年8月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10</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高校跑酷课程的开展现状与发展——以西安体育学院为例 </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陈开拓</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当代体育科技</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2022年9月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11</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《西安体育学院体育教育专业学生体操实践能力培养方法与途径研究》</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杨辉</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当代体育科技</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2022年12月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12</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高校体育教育专业体操课程思政建设路径探索与实践——以西安体育学院为例</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李凤梅</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体育视野</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2022年7月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13</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我国高等体育院校《体育手语》课程思政的路径探索</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屈丹</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绥化学院学报</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2022年7月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14</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体育专业理论课程思政教学设计优化研究</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王丽芳</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当代体育科技</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2022年10月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28"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15</w:t>
            </w:r>
          </w:p>
        </w:tc>
        <w:tc>
          <w:tcPr>
            <w:tcW w:w="1416"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竞技体操教练员与运动员人际关系研究</w:t>
            </w:r>
          </w:p>
        </w:tc>
        <w:tc>
          <w:tcPr>
            <w:tcW w:w="1513"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张红</w:t>
            </w:r>
          </w:p>
        </w:tc>
        <w:tc>
          <w:tcPr>
            <w:tcW w:w="129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451"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体育视野</w:t>
            </w:r>
          </w:p>
        </w:tc>
        <w:tc>
          <w:tcPr>
            <w:tcW w:w="19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2022年2月</w:t>
            </w:r>
          </w:p>
        </w:tc>
        <w:tc>
          <w:tcPr>
            <w:tcW w:w="20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bl>
    <w:p>
      <w:pPr>
        <w:pStyle w:val="13"/>
        <w:numPr>
          <w:ilvl w:val="0"/>
          <w:numId w:val="0"/>
        </w:numPr>
        <w:tabs>
          <w:tab w:val="left" w:pos="350"/>
        </w:tabs>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（三）教师获得国内外重要奖项</w:t>
      </w:r>
    </w:p>
    <w:p>
      <w:pPr>
        <w:pStyle w:val="8"/>
        <w:widowControl/>
        <w:numPr>
          <w:ilvl w:val="0"/>
          <w:numId w:val="0"/>
        </w:numPr>
        <w:spacing w:beforeAutospacing="0" w:afterAutospacing="0" w:line="360" w:lineRule="auto"/>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1.内容：统计时间段内分年度获得的国内外重要奖项的情况，奖项每年控制在10项以内。</w:t>
      </w:r>
    </w:p>
    <w:p>
      <w:pPr>
        <w:pStyle w:val="8"/>
        <w:widowControl/>
        <w:numPr>
          <w:ilvl w:val="0"/>
          <w:numId w:val="0"/>
        </w:numPr>
        <w:spacing w:beforeAutospacing="0" w:afterAutospacing="0" w:line="360" w:lineRule="auto"/>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2.奖项名称：包括但不限于诺贝尔奖、菲尔兹奖、图灵奖、沃尔夫化学奖、茅盾文学奖、郭沫若史学奖、孙冶方经济学奖、何梁何利奖、吴玉章奖、体育三大赛、表演类国际A级奖、教育</w:t>
      </w:r>
    </w:p>
    <w:p>
      <w:pPr>
        <w:pStyle w:val="2"/>
        <w:rPr>
          <w:rFonts w:hint="eastAsia"/>
          <w:lang w:val="en-US" w:eastAsia="zh-CN"/>
        </w:rPr>
        <w:sectPr>
          <w:pgSz w:w="11906" w:h="16838"/>
          <w:pgMar w:top="1800" w:right="1440" w:bottom="1800" w:left="1440" w:header="851" w:footer="992" w:gutter="0"/>
          <w:cols w:space="425" w:num="1"/>
          <w:docGrid w:type="lines" w:linePitch="312" w:charSpace="0"/>
        </w:sectPr>
      </w:pPr>
    </w:p>
    <w:p>
      <w:pPr>
        <w:pStyle w:val="8"/>
        <w:widowControl/>
        <w:numPr>
          <w:ilvl w:val="0"/>
          <w:numId w:val="0"/>
        </w:numPr>
        <w:spacing w:beforeAutospacing="0" w:afterAutospacing="0" w:line="360" w:lineRule="auto"/>
        <w:jc w:val="both"/>
        <w:rPr>
          <w:rFonts w:hint="eastAsia" w:ascii="仿宋" w:hAnsi="仿宋" w:eastAsia="仿宋" w:cs="仿宋"/>
          <w:b w:val="0"/>
          <w:bCs w:val="0"/>
          <w:sz w:val="32"/>
          <w:szCs w:val="32"/>
          <w:lang w:val="en-US" w:eastAsia="zh-CN"/>
        </w:rPr>
      </w:pPr>
      <w:bookmarkStart w:id="3" w:name="_Hlk96814756"/>
      <w:r>
        <w:rPr>
          <w:rFonts w:hint="eastAsia" w:ascii="仿宋" w:hAnsi="仿宋" w:eastAsia="仿宋" w:cs="仿宋"/>
          <w:b w:val="0"/>
          <w:bCs w:val="0"/>
          <w:sz w:val="32"/>
          <w:szCs w:val="32"/>
          <w:lang w:val="en-US" w:eastAsia="zh-CN"/>
        </w:rPr>
        <w:t>部高等学校科学研究优秀成果奖等，各类奖项均不包含人才资助项目。</w:t>
      </w:r>
    </w:p>
    <w:p>
      <w:pPr>
        <w:pStyle w:val="8"/>
        <w:widowControl/>
        <w:numPr>
          <w:ilvl w:val="0"/>
          <w:numId w:val="0"/>
        </w:numPr>
        <w:spacing w:beforeAutospacing="0" w:afterAutospacing="0" w:line="360" w:lineRule="auto"/>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3.组织单位类型：政府、学会、协会、其他。</w:t>
      </w:r>
    </w:p>
    <w:p>
      <w:pPr>
        <w:pStyle w:val="8"/>
        <w:widowControl/>
        <w:numPr>
          <w:ilvl w:val="0"/>
          <w:numId w:val="0"/>
        </w:numPr>
        <w:spacing w:beforeAutospacing="0" w:afterAutospacing="0" w:line="360" w:lineRule="auto"/>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4.获奖教师姓名（排名）：获奖教师姓名及在获奖人中的排序，获奖人应为本学位点专任教师。</w:t>
      </w:r>
    </w:p>
    <w:tbl>
      <w:tblPr>
        <w:tblStyle w:val="9"/>
        <w:tblpPr w:leftFromText="180" w:rightFromText="180" w:vertAnchor="text" w:horzAnchor="page" w:tblpX="824" w:tblpY="675"/>
        <w:tblOverlap w:val="never"/>
        <w:tblW w:w="10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1416"/>
        <w:gridCol w:w="1998"/>
        <w:gridCol w:w="1224"/>
        <w:gridCol w:w="1062"/>
        <w:gridCol w:w="1188"/>
        <w:gridCol w:w="1266"/>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trPr>
        <w:tc>
          <w:tcPr>
            <w:tcW w:w="960" w:type="dxa"/>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序号</w:t>
            </w:r>
          </w:p>
        </w:tc>
        <w:tc>
          <w:tcPr>
            <w:tcW w:w="141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奖项名称</w:t>
            </w:r>
          </w:p>
        </w:tc>
        <w:tc>
          <w:tcPr>
            <w:tcW w:w="1998"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获奖成果名称</w:t>
            </w:r>
          </w:p>
        </w:tc>
        <w:tc>
          <w:tcPr>
            <w:tcW w:w="1224"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获奖等级</w:t>
            </w:r>
          </w:p>
        </w:tc>
        <w:tc>
          <w:tcPr>
            <w:tcW w:w="1062"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组织单位</w:t>
            </w:r>
          </w:p>
        </w:tc>
        <w:tc>
          <w:tcPr>
            <w:tcW w:w="1188"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组织单位类型</w:t>
            </w:r>
          </w:p>
        </w:tc>
        <w:tc>
          <w:tcPr>
            <w:tcW w:w="126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w:t>
            </w:r>
          </w:p>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时间</w:t>
            </w:r>
          </w:p>
        </w:tc>
        <w:tc>
          <w:tcPr>
            <w:tcW w:w="1344"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获奖教师姓名（排名）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960"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陕西省第十五次哲学社会科学优秀成果</w:t>
            </w:r>
          </w:p>
        </w:tc>
        <w:tc>
          <w:tcPr>
            <w:tcW w:w="19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（一）-《体育锻炼能提升社会资本吗? </w:t>
            </w:r>
            <w:r>
              <w:rPr>
                <w:rFonts w:hint="eastAsia" w:ascii="宋体" w:hAnsi="宋体" w:eastAsia="宋体" w:cs="宋体"/>
                <w:i w:val="0"/>
                <w:iCs w:val="0"/>
                <w:color w:val="000000"/>
                <w:kern w:val="0"/>
                <w:sz w:val="24"/>
                <w:szCs w:val="24"/>
                <w:u w:val="none"/>
                <w:lang w:val="en-US" w:eastAsia="zh-CN" w:bidi="ar"/>
              </w:rPr>
              <w:t>—基于2014JSNET调查数据的实证分析》</w:t>
            </w:r>
          </w:p>
        </w:tc>
        <w:tc>
          <w:tcPr>
            <w:tcW w:w="12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一等奖</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陕西省人民政府</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政府</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eastAsia="zh-CN"/>
              </w:rPr>
              <w:t>２０２２</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60"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陕西高等学校科学技术研究</w:t>
            </w:r>
          </w:p>
        </w:tc>
        <w:tc>
          <w:tcPr>
            <w:tcW w:w="19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运动训练分析与监测系统的研发与应用</w:t>
            </w:r>
          </w:p>
        </w:tc>
        <w:tc>
          <w:tcPr>
            <w:tcW w:w="12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优秀成果奖</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陕西省委高等教育工作委员会</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eastAsia="zh-CN"/>
              </w:rPr>
              <w:t>２０２２</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马海涛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60"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海南文旅大会·2022中国 (海南)水上运动与休闲旅游国际论坛。</w:t>
            </w:r>
          </w:p>
        </w:tc>
        <w:tc>
          <w:tcPr>
            <w:tcW w:w="19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新时代“延安精神”培育体育教育专业学生思想政治觉悟的创新路径研究</w:t>
            </w:r>
          </w:p>
        </w:tc>
        <w:tc>
          <w:tcPr>
            <w:tcW w:w="12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优秀论文奖二等奖</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eastAsia="zh-CN"/>
              </w:rPr>
              <w:t>２０２２</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胡斌</w:t>
            </w:r>
          </w:p>
        </w:tc>
      </w:tr>
      <w:bookmarkEnd w:id="3"/>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hint="eastAsia" w:ascii="仿宋" w:hAnsi="仿宋" w:eastAsia="仿宋" w:cs="仿宋"/>
          <w:b/>
          <w:sz w:val="32"/>
          <w:szCs w:val="32"/>
        </w:rPr>
      </w:pPr>
      <w:bookmarkStart w:id="4" w:name="_Toc9851"/>
    </w:p>
    <w:p>
      <w:pPr>
        <w:pStyle w:val="8"/>
        <w:widowControl/>
        <w:spacing w:beforeAutospacing="0" w:afterAutospacing="0" w:line="360" w:lineRule="auto"/>
        <w:rPr>
          <w:rFonts w:hint="eastAsia" w:ascii="仿宋" w:hAnsi="仿宋" w:eastAsia="仿宋" w:cs="仿宋"/>
          <w:b/>
          <w:sz w:val="32"/>
          <w:szCs w:val="32"/>
        </w:rPr>
      </w:pPr>
      <w:r>
        <w:rPr>
          <w:rFonts w:hint="eastAsia" w:ascii="黑体" w:hAnsi="黑体" w:eastAsia="黑体" w:cs="黑体"/>
          <w:bCs/>
          <w:sz w:val="32"/>
          <w:szCs w:val="32"/>
          <w:lang w:val="en-US" w:eastAsia="zh-CN"/>
        </w:rPr>
        <w:t>四、服务贡献</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1"/>
        <w:rPr>
          <w:rFonts w:ascii="仿宋" w:hAnsi="仿宋" w:eastAsia="仿宋" w:cs="仿宋"/>
          <w:b/>
          <w:sz w:val="32"/>
          <w:szCs w:val="32"/>
        </w:rPr>
      </w:pPr>
      <w:r>
        <w:rPr>
          <w:rFonts w:hint="eastAsia" w:ascii="仿宋" w:hAnsi="仿宋" w:eastAsia="仿宋" w:cs="仿宋"/>
          <w:b/>
          <w:sz w:val="32"/>
          <w:szCs w:val="32"/>
        </w:rPr>
        <w:t>（一）推动竞技体育实力提升，服务体育强国战略</w:t>
      </w:r>
      <w:bookmarkEnd w:id="4"/>
    </w:p>
    <w:p>
      <w:pPr>
        <w:spacing w:line="500" w:lineRule="exact"/>
        <w:rPr>
          <w:rFonts w:hint="eastAsia"/>
          <w:lang w:val="en-US" w:eastAsia="zh-CN"/>
        </w:rPr>
      </w:pPr>
      <w:r>
        <w:rPr>
          <w:rFonts w:hint="eastAsia" w:ascii="仿宋" w:hAnsi="仿宋" w:eastAsia="仿宋" w:cs="仿宋"/>
          <w:sz w:val="32"/>
          <w:szCs w:val="32"/>
        </w:rPr>
        <w:t>积极落实“教育部应对新冠肺炎疫情工作领导小组办公室关于在常态化疫情防控下做好学校体育工作的指导意见”，根据“意见”内容，围绕体育事业改革和发展的重大理论与实践问题，充分发挥我校体育学学科的团队优势，开展了同系列社会服务。紧密结合社会发展需要，瞄准新时代社会发展趋势与前沿领域，结合体育及体育学相关学科协调发展，构建学科专业与人才培养体系。紧跟当下社会对人才的需求，为备战陕西省十四届全运会田径、赛艇、足球、跆拳道等项目提供科技服务，为国家和我省竞技体育的不断攀升做出了重要贡献。围绕“一带一路”发展战略，为在读研究生搭建优质的服务实践锻炼平台，推广和普及“全民健身”理念和方法，惠及社区群众，为广大运动健身爱好者提供专业指导与服务。先后有多名研究生进行长期的运动队随队服务，为社区特殊人群提供心理援助。不但注重研究生的实践应用能力培养，而且注重研究生的科研及学术水平的培养及科技服务工作。各专业研究生每年参加各类国内外学术会议、学术论坛、发表学术期刊等，学以致用。在促进全民健身、终身体育等方面，为服务社会方面做出了积极贡献。</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1"/>
        <w:rPr>
          <w:rFonts w:ascii="仿宋" w:hAnsi="仿宋" w:eastAsia="仿宋" w:cs="仿宋"/>
          <w:b/>
          <w:sz w:val="32"/>
          <w:szCs w:val="32"/>
        </w:rPr>
      </w:pPr>
      <w:bookmarkStart w:id="5" w:name="_Toc15542"/>
      <w:r>
        <w:rPr>
          <w:rFonts w:hint="eastAsia" w:ascii="仿宋" w:hAnsi="仿宋" w:eastAsia="仿宋" w:cs="仿宋"/>
          <w:b/>
          <w:sz w:val="32"/>
          <w:szCs w:val="32"/>
        </w:rPr>
        <w:t>（二）发挥文化传承创新作用，服务中外人文交流</w:t>
      </w:r>
      <w:bookmarkEnd w:id="5"/>
    </w:p>
    <w:p>
      <w:pPr>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发挥文化传承创新作用，构建多层次的人才培养体系，为地区培养了一大批“下得去、留得住、用得上、干得好”的体育高级专门人才，为地区体育事业的发展提供了强有力的人才支持和智力保障。一直以来，我校非常注重教学研究与教学实践结合，突出社会实践教学环节。推进科学研究、社会服务、文化传承与创新人才培养的互动融合，严格学生课程论文和毕业论文的指导与评价，将学生参与教师的科研工作、社会调查、社会服务、体育文化传承活动纳入评优评先、奖学金评定的必备条件，培养了学生创新精神与实践能力，为服务中外人文交流贡献一份力量。</w:t>
      </w:r>
      <w:bookmarkStart w:id="6" w:name="_Toc12013"/>
      <w:r>
        <w:rPr>
          <w:rFonts w:hint="eastAsia" w:ascii="仿宋" w:hAnsi="仿宋" w:eastAsia="仿宋" w:cs="仿宋"/>
          <w:sz w:val="32"/>
          <w:szCs w:val="32"/>
          <w:lang w:val="en-US" w:eastAsia="zh-CN"/>
        </w:rPr>
        <w:t xml:space="preserve">         </w:t>
      </w:r>
    </w:p>
    <w:p>
      <w:pPr>
        <w:numPr>
          <w:ilvl w:val="0"/>
          <w:numId w:val="2"/>
        </w:numPr>
        <w:spacing w:line="5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服务新冠肺炎疫情防控，引领健康运动促进</w:t>
      </w:r>
      <w:bookmarkEnd w:id="6"/>
    </w:p>
    <w:p>
      <w:pPr>
        <w:numPr>
          <w:ilvl w:val="0"/>
          <w:numId w:val="0"/>
        </w:num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2021年年末，西安市面临一场没有硝烟的战争，在这期间，无数白衣战士奋战在一线，用他们的血肉之躯为国家和人民保驾护航。西安体育学院研究生部虽然只是大海中的一粒水滴，但是在国家和人民面对严峻考验的时刻从各个方面以微小的个人力量，去支援西安，抗击疫情。疫情来临之际，研究生部学生党员和部分同学积极加入了抗疫活动当中，充分发挥自身优势和专业特长</w:t>
      </w:r>
      <w:r>
        <w:rPr>
          <w:rFonts w:hint="eastAsia" w:ascii="仿宋" w:hAnsi="仿宋" w:eastAsia="仿宋" w:cs="仿宋"/>
          <w:sz w:val="32"/>
          <w:szCs w:val="32"/>
          <w:lang w:eastAsia="zh-CN"/>
        </w:rPr>
        <w:t>，</w:t>
      </w:r>
    </w:p>
    <w:p>
      <w:pPr>
        <w:spacing w:line="500" w:lineRule="exact"/>
        <w:rPr>
          <w:rFonts w:ascii="仿宋" w:hAnsi="仿宋" w:eastAsia="仿宋" w:cs="仿宋"/>
          <w:sz w:val="32"/>
          <w:szCs w:val="32"/>
        </w:rPr>
      </w:pPr>
      <w:r>
        <w:rPr>
          <w:rFonts w:hint="eastAsia" w:ascii="仿宋" w:hAnsi="仿宋" w:eastAsia="仿宋" w:cs="仿宋"/>
          <w:sz w:val="32"/>
          <w:szCs w:val="32"/>
        </w:rPr>
        <w:t>各尽所能，主动加入疫情志愿者工作奔赴疫情防控的前线，做核酸检测采样志愿者，疫情期间测体温、消毒、维持秩序等工作，为疫情防控贡献出自己的一份力量。</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1"/>
        <w:rPr>
          <w:rFonts w:ascii="仿宋" w:hAnsi="仿宋" w:eastAsia="仿宋" w:cs="仿宋"/>
          <w:b/>
          <w:sz w:val="32"/>
          <w:szCs w:val="32"/>
        </w:rPr>
      </w:pPr>
      <w:bookmarkStart w:id="7" w:name="_Toc18886"/>
      <w:r>
        <w:rPr>
          <w:rFonts w:hint="eastAsia" w:ascii="仿宋" w:hAnsi="仿宋" w:eastAsia="仿宋" w:cs="仿宋"/>
          <w:b/>
          <w:sz w:val="32"/>
          <w:szCs w:val="32"/>
        </w:rPr>
        <w:t>（四）发挥智库建言献策作用，多领域提供规划和支持：科教协同育人等</w:t>
      </w:r>
      <w:bookmarkEnd w:id="7"/>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西安体育学院研究生部与社区联合开展公益活动，为同学与社会之间搭建平台。从实际出发，让同学们将学校所学理论知识与社会实际需要有机相结合，为毕业走出校门后进入社会工作积累经验，更好为社会服务，更好的为实现伟大复兴的中国梦贡献自己的力量。益体运动开展走进社区体育惠民，协助居民参加“我爱我家，社区趣味运动会”公益活动。我部志愿者担任裁判，与居民进行互动，介绍游戏规则及示范，颁发礼品等工作职位，将西安体育学院的精神带进社区，增进居民身体健康，组织引导广大老年人开展健康、科学、文明的体育活动，并且从中学到了开展社区活动的经验。</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研究生部学生与西安市柒日新社会工作服务中心联合开展了走进秋林苑小区进行“垃圾分类共创文明新家园”活动，进行对垃圾分类的推广与宣传，并且带领社区居民进行了互动小游戏环节，使居民通过“垃圾分类趣味小游戏”愉悦了身心、锻炼了身</w:t>
      </w:r>
    </w:p>
    <w:p>
      <w:pPr>
        <w:pStyle w:val="2"/>
        <w:rPr>
          <w:rFonts w:hint="eastAsia"/>
          <w:lang w:val="en-US" w:eastAsia="zh-CN"/>
        </w:rPr>
        <w:sectPr>
          <w:pgSz w:w="11906" w:h="16838"/>
          <w:pgMar w:top="1800" w:right="1440" w:bottom="1800" w:left="1440" w:header="851" w:footer="992" w:gutter="0"/>
          <w:cols w:space="425" w:num="1"/>
          <w:docGrid w:type="lines" w:linePitch="312" w:charSpace="0"/>
        </w:sectPr>
      </w:pPr>
    </w:p>
    <w:p>
      <w:pPr>
        <w:spacing w:line="500" w:lineRule="exact"/>
        <w:rPr>
          <w:rFonts w:ascii="仿宋" w:hAnsi="仿宋" w:eastAsia="仿宋" w:cs="仿宋"/>
          <w:sz w:val="32"/>
          <w:szCs w:val="32"/>
        </w:rPr>
      </w:pPr>
      <w:r>
        <w:rPr>
          <w:rFonts w:hint="eastAsia" w:ascii="仿宋" w:hAnsi="仿宋" w:eastAsia="仿宋" w:cs="仿宋"/>
          <w:sz w:val="32"/>
          <w:szCs w:val="32"/>
        </w:rPr>
        <w:t>体，学习到了垃圾分类的具体知识。同时还在长安路街道永宁社区在碑林区民政局、长安路街道办事处的大力支持下，联合西安市柒日新社会工作服务中心，以“全民健身与从我做起”为主题，举办了“我爱我家，社区趣味运动会”，吸引社区居民20余人报名参加。益体活动的开展，不仅发挥了社区服务中居民服务的功能，而且将专业社会组织力量引入，利用专业的社工服务方法为社区居民营造了和谐有爱的氛围、开辟了新的的活动场所、搭建了彼此交流沟通的平台。在参与社区活动中，培养居民高尚的道德情操，提升居民文化品位，引导人们追求真、善、美，充分发挥研究生部体育人文精神。</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ascii="仿宋" w:hAnsi="仿宋" w:eastAsia="仿宋" w:cs="仿宋"/>
          <w:b/>
          <w:sz w:val="32"/>
          <w:szCs w:val="32"/>
        </w:rPr>
      </w:pPr>
      <w:bookmarkStart w:id="8" w:name="_Toc13363"/>
      <w:r>
        <w:rPr>
          <w:rFonts w:hint="eastAsia" w:ascii="仿宋" w:hAnsi="仿宋" w:eastAsia="仿宋" w:cs="仿宋"/>
          <w:b/>
          <w:sz w:val="32"/>
          <w:szCs w:val="32"/>
        </w:rPr>
        <w:t>（五）完善高效融合的管理体系，推动特色专业的建设</w:t>
      </w:r>
      <w:bookmarkEnd w:id="8"/>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为保证教学质量，研究生部加强了对教师授课的监督指导。成立了教学督导组，有效地开展工作。在日常教学中，督导组定期或不定期地到授课场地进行抽查，检查教师授课情况和学生上课情况，并不定期对教师教案、授课计划、多媒体课件进行检查。与此同时，教学督导组及时将发现的有关教学和教学管理中存在的问题反馈给教师和研究生部党政领导，以便及时整改。</w:t>
      </w:r>
    </w:p>
    <w:p>
      <w:pPr>
        <w:spacing w:line="500" w:lineRule="exact"/>
        <w:ind w:firstLine="640" w:firstLineChars="200"/>
        <w:rPr>
          <w:rFonts w:hint="eastAsia" w:ascii="黑体" w:hAnsi="黑体" w:eastAsia="黑体" w:cs="黑体"/>
          <w:b w:val="0"/>
          <w:bCs w:val="0"/>
          <w:sz w:val="28"/>
          <w:szCs w:val="28"/>
          <w:lang w:val="en-US" w:eastAsia="zh-CN"/>
        </w:rPr>
      </w:pPr>
      <w:r>
        <w:rPr>
          <w:rFonts w:hint="eastAsia" w:ascii="仿宋" w:hAnsi="仿宋" w:eastAsia="仿宋" w:cs="仿宋"/>
          <w:sz w:val="32"/>
          <w:szCs w:val="32"/>
        </w:rPr>
        <w:t>在专业的管理中，研究生部逐步构建和完善了过程管理、责任管理与目标管理高效融合的管理体系，有效推动了特色专业的建设。</w:t>
      </w:r>
    </w:p>
    <w:p>
      <w:pPr>
        <w:pStyle w:val="13"/>
        <w:numPr>
          <w:ilvl w:val="0"/>
          <w:numId w:val="0"/>
        </w:num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五、学术交流</w:t>
      </w:r>
    </w:p>
    <w:p>
      <w:pPr>
        <w:pStyle w:val="13"/>
        <w:numPr>
          <w:ilvl w:val="0"/>
          <w:numId w:val="0"/>
        </w:num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1.内容：统计时间段内，学生（含留学生）在学期间参加本领域国内外重要学术会议并作学术报告的人员情况。</w:t>
      </w:r>
      <w:r>
        <w:rPr>
          <w:rFonts w:hint="eastAsia" w:ascii="仿宋" w:hAnsi="仿宋" w:eastAsia="仿宋" w:cs="仿宋"/>
          <w:color w:val="auto"/>
          <w:kern w:val="2"/>
          <w:sz w:val="32"/>
          <w:szCs w:val="32"/>
          <w:lang w:val="en-US" w:eastAsia="zh-CN" w:bidi="ar-SA"/>
        </w:rPr>
        <w:br w:type="textWrapping"/>
      </w:r>
      <w:r>
        <w:rPr>
          <w:rFonts w:hint="eastAsia" w:ascii="仿宋" w:hAnsi="仿宋" w:eastAsia="仿宋" w:cs="仿宋"/>
          <w:color w:val="auto"/>
          <w:kern w:val="2"/>
          <w:sz w:val="32"/>
          <w:szCs w:val="32"/>
          <w:lang w:val="en-US" w:eastAsia="zh-CN" w:bidi="ar-SA"/>
        </w:rPr>
        <w:t xml:space="preserve">    2.报告地点：报告地点填报格式为“国别-城市”，如“中国-上海”，或“线上”。</w:t>
      </w:r>
    </w:p>
    <w:p>
      <w:pPr>
        <w:pStyle w:val="13"/>
        <w:numPr>
          <w:ilvl w:val="0"/>
          <w:numId w:val="0"/>
        </w:numPr>
        <w:ind w:firstLine="640" w:firstLineChars="200"/>
        <w:rPr>
          <w:rFonts w:hint="eastAsia" w:ascii="仿宋" w:hAnsi="仿宋" w:eastAsia="仿宋" w:cs="仿宋"/>
          <w:color w:val="auto"/>
          <w:kern w:val="2"/>
          <w:sz w:val="32"/>
          <w:szCs w:val="32"/>
          <w:lang w:val="en-US" w:eastAsia="zh-CN" w:bidi="ar-SA"/>
        </w:rPr>
      </w:pPr>
    </w:p>
    <w:tbl>
      <w:tblPr>
        <w:tblStyle w:val="10"/>
        <w:tblW w:w="9408"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020"/>
        <w:gridCol w:w="1464"/>
        <w:gridCol w:w="1272"/>
        <w:gridCol w:w="1416"/>
        <w:gridCol w:w="134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4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序号</w:t>
            </w:r>
          </w:p>
        </w:tc>
        <w:tc>
          <w:tcPr>
            <w:tcW w:w="102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年度</w:t>
            </w:r>
          </w:p>
        </w:tc>
        <w:tc>
          <w:tcPr>
            <w:tcW w:w="146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学生姓名</w:t>
            </w:r>
          </w:p>
        </w:tc>
        <w:tc>
          <w:tcPr>
            <w:tcW w:w="127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会议名称</w:t>
            </w:r>
          </w:p>
        </w:tc>
        <w:tc>
          <w:tcPr>
            <w:tcW w:w="141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报告题目</w:t>
            </w:r>
          </w:p>
        </w:tc>
        <w:tc>
          <w:tcPr>
            <w:tcW w:w="134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报告时间</w:t>
            </w:r>
          </w:p>
        </w:tc>
        <w:tc>
          <w:tcPr>
            <w:tcW w:w="164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报告地点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w:t>
            </w:r>
          </w:p>
        </w:tc>
        <w:tc>
          <w:tcPr>
            <w:tcW w:w="1020"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仿宋" w:hAnsi="仿宋" w:eastAsia="仿宋"/>
                <w:spacing w:val="-4"/>
                <w:sz w:val="24"/>
              </w:rPr>
              <w:t>于志梅</w:t>
            </w:r>
          </w:p>
        </w:tc>
        <w:tc>
          <w:tcPr>
            <w:tcW w:w="1272"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仿宋" w:hAnsi="仿宋" w:eastAsia="仿宋"/>
                <w:spacing w:val="-4"/>
                <w:sz w:val="24"/>
              </w:rPr>
              <w:t>2022年第七届广州运动与健康国际学术研讨会</w:t>
            </w:r>
          </w:p>
        </w:tc>
        <w:tc>
          <w:tcPr>
            <w:tcW w:w="1416"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仿宋" w:hAnsi="仿宋" w:eastAsia="仿宋"/>
                <w:spacing w:val="-4"/>
                <w:sz w:val="24"/>
              </w:rPr>
              <w:t>2022年第七届广州运动与健康国际学术研讨会</w:t>
            </w:r>
          </w:p>
        </w:tc>
        <w:tc>
          <w:tcPr>
            <w:tcW w:w="13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苟轶清</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全国少数民族体育学术会议 湖北恩施</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全国少数民族体育学术会议</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202206</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中国-湖北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苟轶清</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2022年第六届中国足球文化与校园足球发展大会 安徽淮北</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2022年第六届中国足球文化与校园足球发展大会</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中国-安徽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4</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张佳星</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2022年东盟体育科学大会</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人类命运共同体视域下中国-东盟民族传统体育交流与合作</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202205</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5</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张佳星</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2022年第11届环渤海体育法学论坛</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新修订《体育法》出台背景下我国运动员参赛权利保障研究</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6</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王康弟</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 xml:space="preserve"> 2022年全国少数民族体育学术会议 湖北 恩施 湖北民族大学</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甘肃少数民族体育非物质文化遗产的数字化保护研究</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202206</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中国-湖北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7</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陈诚</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2022年世界休闲体育论坛暨休闲体育论文报告会 常州</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“高校体育教育专业人才培养与中小学体育课程改革不匹配的问题与对策研究”</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8</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陈珂</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2022全国学校体育学术论坛暨第八届全国啦啦操教育科学论文报告会   南京线上</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2022全国学校体育学术论坛暨第八届全国啦啦操教育科学论文报告会</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9</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程绘泽</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2022年全国学校体育学术论坛暨第八届全国啦啦操教育科学论文报告会-线上</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《陕西省啦啦操项目后备人才培养研究》</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10</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段亭宇</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2022年全国学校体育学术论坛暨第八届全国啦啦操教育科学论文报告会</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啦啦操项目课程思政融入教学的价值塑造及实践探索</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11</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郭吉茹</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2022年体育非物质文化遗产学术大会</w:t>
            </w:r>
            <w:r>
              <w:rPr>
                <w:rFonts w:hint="eastAsia" w:ascii="仿宋" w:hAnsi="仿宋" w:eastAsia="仿宋"/>
                <w:spacing w:val="-4"/>
                <w:sz w:val="24"/>
              </w:rPr>
              <w:br w:type="textWrapping"/>
            </w:r>
            <w:r>
              <w:rPr>
                <w:rFonts w:hint="eastAsia" w:ascii="仿宋" w:hAnsi="仿宋" w:eastAsia="仿宋"/>
                <w:spacing w:val="-4"/>
                <w:sz w:val="24"/>
              </w:rPr>
              <w:t>线上</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血缘、地缘、网缘：陕西花样跳绳发展路径研究</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12</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李泳坤</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第二十二届全国运动生物力学学术交流会</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《2022年WTT新加坡大满贯女单决赛王曼昱VS陈梦技战术分析》</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中国-陕西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13</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刘玉</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 xml:space="preserve">第十二届全国体育科学大会  </w:t>
            </w:r>
            <w:r>
              <w:rPr>
                <w:rFonts w:hint="eastAsia" w:ascii="仿宋" w:hAnsi="仿宋" w:eastAsia="仿宋"/>
                <w:spacing w:val="-4"/>
                <w:sz w:val="24"/>
              </w:rPr>
              <w:br w:type="textWrapping"/>
            </w:r>
            <w:r>
              <w:rPr>
                <w:rFonts w:hint="eastAsia" w:ascii="仿宋" w:hAnsi="仿宋" w:eastAsia="仿宋"/>
                <w:spacing w:val="-4"/>
                <w:sz w:val="24"/>
              </w:rPr>
              <w:t>山东日照</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《健康中国背景下我国西部地区生态体育旅游资源可持续发展研究》</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202203</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14</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倪嘉成</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2022年全国运动训练学术研讨会</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集体性体育活动对强制戒毒期人员体质影响的实验研究</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15</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王超</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第二届中国青少年体能高峰论坛</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不同上肢引臂幅度对青少年立定跳远的下肢生物力学特征影响</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202206</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16</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张静雯</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2022年全国运动训练学术研讨会 线上</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国内运动训练的研究进展、热点及前沿探析</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17</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张凯帆</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第二十二届全国运动生物力学学术交流大会  陕西 西安</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乒乓球反手台内侧拧与全拧技术的运动学对比分析</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中国-陕西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18</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张凯帆</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2022年世界休闲体育论坛暨休闲体育论文报告会  常州</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全民健身视域下我国休闲体育项目发展的SWOT分析</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19</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张凯雯</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2022年世界休闲体育论坛暨休闲体育论文报告会 常州</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“人工智能+体育”视角下国内休闲体育产业发展困境及对策研究</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20</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赵一凡</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第十三届高校体育教师教育科学论文报告会  中国新疆</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双减背景下西安市中小学生久坐行为现状分析</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202207</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21</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赵一凡</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2022年第七届广州运动与健康国际学术研讨会 中国广州</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双减背景下西安市中小学生久坐行为现状差异分析</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22</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牛晋花</w:t>
            </w:r>
          </w:p>
        </w:tc>
        <w:tc>
          <w:tcPr>
            <w:tcW w:w="1272" w:type="dxa"/>
            <w:vAlign w:val="center"/>
          </w:tcPr>
          <w:p>
            <w:pPr>
              <w:widowControl/>
              <w:jc w:val="center"/>
              <w:rPr>
                <w:rFonts w:ascii="仿宋" w:hAnsi="仿宋" w:eastAsia="仿宋"/>
                <w:spacing w:val="-4"/>
                <w:sz w:val="24"/>
              </w:rPr>
            </w:pPr>
            <w:r>
              <w:rPr>
                <w:rFonts w:hint="eastAsia" w:ascii="仿宋" w:hAnsi="仿宋" w:eastAsia="仿宋"/>
                <w:spacing w:val="-4"/>
                <w:sz w:val="24"/>
              </w:rPr>
              <w:t>第十二届体育科学大会</w:t>
            </w:r>
          </w:p>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山东日照</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肌肉能量技术联合关节松动术治疗老年膝关节半月板损伤的效果观察</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202203</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23</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韩亚兵</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国际太极健康论坛   线上</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太极拳对轻度认知障碍老年人认知功能影响研究进展</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202201</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24</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杜夏雨</w:t>
            </w:r>
          </w:p>
        </w:tc>
        <w:tc>
          <w:tcPr>
            <w:tcW w:w="1272" w:type="dxa"/>
            <w:vAlign w:val="center"/>
          </w:tcPr>
          <w:p>
            <w:pPr>
              <w:widowControl/>
              <w:jc w:val="center"/>
              <w:rPr>
                <w:rFonts w:ascii="仿宋" w:hAnsi="仿宋" w:eastAsia="仿宋"/>
                <w:spacing w:val="-4"/>
                <w:sz w:val="24"/>
              </w:rPr>
            </w:pPr>
            <w:r>
              <w:rPr>
                <w:rFonts w:hint="eastAsia" w:ascii="仿宋" w:hAnsi="仿宋" w:eastAsia="仿宋"/>
                <w:spacing w:val="-4"/>
                <w:sz w:val="24"/>
              </w:rPr>
              <w:t>第十二届全国体育科学大会</w:t>
            </w:r>
          </w:p>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山东日照</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观赏性体育参与提升体育迷主观幸福感的多重路径研究</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202203</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25</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王铖皓</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2022年全国运动训练学术研讨会</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《双因素理论下竞技体育后备人才培养制度优化研究》</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26</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张安琪</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第十三届高校体育教师学术研讨会暨教育科学论文报告会  新疆乌鲁木齐（原定，最后为网络参会）</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普通高校体育课程开展课程思政的内涵特征、特点困境与价值意蕴</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202207</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27</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张安琪</w:t>
            </w:r>
          </w:p>
        </w:tc>
        <w:tc>
          <w:tcPr>
            <w:tcW w:w="1272"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 xml:space="preserve">成都 FISU 世界学术大会        </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The fusion value and realization path of aesthetic education in school physical education</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202206</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28</w:t>
            </w:r>
          </w:p>
        </w:tc>
        <w:tc>
          <w:tcPr>
            <w:tcW w:w="102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color w:val="000000"/>
                <w:kern w:val="0"/>
                <w:sz w:val="24"/>
              </w:rPr>
              <w:t>2022</w:t>
            </w:r>
          </w:p>
        </w:tc>
        <w:tc>
          <w:tcPr>
            <w:tcW w:w="146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张义祥</w:t>
            </w:r>
          </w:p>
        </w:tc>
        <w:tc>
          <w:tcPr>
            <w:tcW w:w="1272" w:type="dxa"/>
            <w:vAlign w:val="center"/>
          </w:tcPr>
          <w:p>
            <w:pPr>
              <w:widowControl/>
              <w:jc w:val="center"/>
              <w:rPr>
                <w:rFonts w:ascii="仿宋" w:hAnsi="仿宋" w:eastAsia="仿宋"/>
                <w:spacing w:val="-4"/>
                <w:sz w:val="24"/>
              </w:rPr>
            </w:pPr>
            <w:r>
              <w:rPr>
                <w:rFonts w:hint="eastAsia" w:ascii="仿宋" w:hAnsi="仿宋" w:eastAsia="仿宋"/>
                <w:spacing w:val="-4"/>
                <w:sz w:val="24"/>
              </w:rPr>
              <w:t>第十二届全国体育科学大会</w:t>
            </w:r>
          </w:p>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山东日照</w:t>
            </w:r>
          </w:p>
        </w:tc>
        <w:tc>
          <w:tcPr>
            <w:tcW w:w="1416"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基于 LDA 主题模型“孙杨案”的网络舆情分析</w:t>
            </w:r>
          </w:p>
        </w:tc>
        <w:tc>
          <w:tcPr>
            <w:tcW w:w="134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202203</w:t>
            </w:r>
          </w:p>
        </w:tc>
        <w:tc>
          <w:tcPr>
            <w:tcW w:w="1644" w:type="dxa"/>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线上</w:t>
            </w:r>
          </w:p>
        </w:tc>
      </w:tr>
    </w:tbl>
    <w:p>
      <w:pPr>
        <w:pStyle w:val="13"/>
        <w:numPr>
          <w:ilvl w:val="0"/>
          <w:numId w:val="0"/>
        </w:numPr>
        <w:rPr>
          <w:rFonts w:hint="eastAsia" w:ascii="黑体" w:hAnsi="黑体" w:eastAsia="黑体" w:cs="黑体"/>
          <w:b w:val="0"/>
          <w:bCs w:val="0"/>
          <w:sz w:val="28"/>
          <w:szCs w:val="28"/>
          <w:lang w:val="en-US" w:eastAsia="zh-CN"/>
        </w:rPr>
      </w:pPr>
      <w:r>
        <w:rPr>
          <w:rFonts w:hint="eastAsia" w:ascii="黑体" w:hAnsi="黑体" w:eastAsia="黑体" w:cs="黑体"/>
          <w:b w:val="0"/>
          <w:bCs w:val="0"/>
          <w:sz w:val="32"/>
          <w:szCs w:val="32"/>
          <w:lang w:val="en-US" w:eastAsia="zh-CN"/>
        </w:rPr>
        <w:t>六、学位点建设存在问题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（一）学科和学位点布局有待完善</w:t>
      </w:r>
    </w:p>
    <w:p>
      <w:pPr>
        <w:spacing w:line="50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sz w:val="32"/>
          <w:szCs w:val="32"/>
        </w:rPr>
        <w:t>由于专业院校学科类型单一的特点，体育学的分类缺陷致使二级学科发展失衡，体育学科与专业设置的关系模糊，学位点、二级学院、学科专业的设置对应性使得学位点布局不均衡，划归建设难度大。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（二）创新能力不足，高质量成果较少</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创新能力直接影响到知识创新的水平，也关系到学校未来整体的创新能力。但是当前学位点整体创新能力有待提高，高质量科研成果较少。研究生高质量学术成果缺乏、科研创新参与度低，研学平台不足，缺乏独立的从事科研活动的能力。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（三）学位论文总体水平有待提高</w:t>
      </w:r>
    </w:p>
    <w:p>
      <w:pPr>
        <w:pStyle w:val="13"/>
        <w:numPr>
          <w:ilvl w:val="0"/>
          <w:numId w:val="0"/>
        </w:numPr>
        <w:rPr>
          <w:rFonts w:hint="eastAsia" w:ascii="仿宋" w:hAnsi="仿宋" w:eastAsia="仿宋" w:cs="仿宋"/>
          <w:sz w:val="32"/>
          <w:szCs w:val="32"/>
        </w:rPr>
      </w:pPr>
      <w:r>
        <w:rPr>
          <w:rFonts w:hint="eastAsia" w:ascii="仿宋" w:hAnsi="仿宋" w:eastAsia="仿宋" w:cs="仿宋"/>
          <w:sz w:val="32"/>
          <w:szCs w:val="32"/>
        </w:rPr>
        <w:t>学文论文质量是衡量研究生培养质量的重要依据。近年来，随着招生规模的不断扩大，研究生数量与培养质量给我们提出了挑战。目前，硕士学位论文选题宽泛，部分研究的选题陈旧不能跟上体育学研究的前沿，研究内容、研究结果的实用性不强，重复性的研究较多，高质量的研究论文较少。</w:t>
      </w:r>
    </w:p>
    <w:p>
      <w:pPr>
        <w:pStyle w:val="13"/>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七、下一年度建设计划</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以2023年博士学位点建设和2020-2025年学位点建设周期性合格评估为契机，深化治理结构改革，完善内部治理体系、深化管理体制改革、调整学科与学院设置、扩大试点二级学院研究生教育与学位点建设自主权。</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（二）是推进人事制度改革，结合陕西省研究生相关管理规范，改善人事编制管理，从全面管理向高质量管理过渡，完善科室设置及人员调整，加强学位点建设和管理水平。</w:t>
      </w:r>
    </w:p>
    <w:p>
      <w:pPr>
        <w:pStyle w:val="13"/>
        <w:rPr>
          <w:sz w:val="32"/>
          <w:szCs w:val="32"/>
        </w:rPr>
      </w:pPr>
      <w:r>
        <w:rPr>
          <w:rFonts w:hint="eastAsia" w:ascii="仿宋" w:hAnsi="仿宋" w:eastAsia="仿宋" w:cs="仿宋"/>
          <w:sz w:val="32"/>
          <w:szCs w:val="32"/>
        </w:rPr>
        <w:t>（三）深刻领会全国研究生教育会议精神和习近平总书记批示精神，围绕国家学位授权审核政策导向，围绕国家重大发展战略和陕西省区域体育文化发展需求，坚持立德树人、服务需求、提高质量、追求卓越的研究生教育主线，使我校学位点建设和研究生教育再上台阶。</w:t>
      </w:r>
    </w:p>
    <w:p>
      <w:pPr>
        <w:pStyle w:val="13"/>
        <w:numPr>
          <w:ilvl w:val="0"/>
          <w:numId w:val="0"/>
        </w:numPr>
        <w:rPr>
          <w:rFonts w:hint="eastAsia" w:ascii="仿宋" w:hAnsi="仿宋" w:eastAsia="仿宋" w:cs="仿宋"/>
          <w:sz w:val="32"/>
          <w:szCs w:val="32"/>
          <w:lang w:val="en-US" w:eastAsia="zh-CN"/>
        </w:rPr>
        <w:sectPr>
          <w:pgSz w:w="11906" w:h="16838"/>
          <w:pgMar w:top="1800" w:right="1440" w:bottom="1800" w:left="1440" w:header="851" w:footer="992" w:gutter="0"/>
          <w:cols w:space="425" w:num="1"/>
          <w:docGrid w:type="lines" w:linePitch="312" w:charSpace="0"/>
        </w:sectPr>
      </w:pPr>
    </w:p>
    <w:p>
      <w:pPr>
        <w:pStyle w:val="13"/>
        <w:numPr>
          <w:ilvl w:val="0"/>
          <w:numId w:val="0"/>
        </w:numPr>
        <w:rPr>
          <w:rFonts w:hint="eastAsia" w:ascii="仿宋" w:hAnsi="仿宋" w:eastAsia="仿宋" w:cs="仿宋"/>
          <w:color w:val="auto"/>
          <w:kern w:val="2"/>
          <w:sz w:val="32"/>
          <w:szCs w:val="32"/>
          <w:lang w:val="en-US" w:eastAsia="zh-CN" w:bidi="ar-SA"/>
        </w:rPr>
        <w:sectPr>
          <w:pgSz w:w="11906" w:h="16838"/>
          <w:pgMar w:top="1800" w:right="1440" w:bottom="1800" w:left="1440" w:header="851" w:footer="992" w:gutter="0"/>
          <w:cols w:space="425" w:num="1"/>
          <w:docGrid w:type="lines" w:linePitch="312" w:charSpace="0"/>
        </w:sectPr>
      </w:pPr>
    </w:p>
    <w:p>
      <w:pPr>
        <w:pStyle w:val="13"/>
        <w:numPr>
          <w:ilvl w:val="0"/>
          <w:numId w:val="0"/>
        </w:numPr>
        <w:rPr>
          <w:rFonts w:hint="eastAsia" w:ascii="黑体" w:hAnsi="黑体" w:eastAsia="黑体" w:cs="黑体"/>
          <w:b w:val="0"/>
          <w:bCs w:val="0"/>
          <w:sz w:val="32"/>
          <w:szCs w:val="32"/>
          <w:lang w:val="en-US" w:eastAsia="zh-CN"/>
        </w:rPr>
      </w:pPr>
    </w:p>
    <w:p>
      <w:pPr>
        <w:pStyle w:val="13"/>
        <w:numPr>
          <w:ilvl w:val="0"/>
          <w:numId w:val="0"/>
        </w:numPr>
        <w:rPr>
          <w:rFonts w:hint="eastAsia" w:ascii="黑体" w:hAnsi="黑体" w:eastAsia="黑体" w:cs="黑体"/>
          <w:b w:val="0"/>
          <w:bCs w:val="0"/>
          <w:sz w:val="32"/>
          <w:szCs w:val="32"/>
          <w:lang w:val="en-US" w:eastAsia="zh-CN"/>
        </w:rPr>
      </w:pPr>
    </w:p>
    <w:p>
      <w:pPr>
        <w:pStyle w:val="13"/>
        <w:numPr>
          <w:ilvl w:val="0"/>
          <w:numId w:val="0"/>
        </w:numPr>
        <w:rPr>
          <w:rFonts w:hint="eastAsia" w:ascii="黑体" w:hAnsi="黑体" w:eastAsia="黑体" w:cs="黑体"/>
          <w:b w:val="0"/>
          <w:bCs w:val="0"/>
          <w:sz w:val="32"/>
          <w:szCs w:val="32"/>
          <w:lang w:val="en-US" w:eastAsia="zh-CN"/>
        </w:rPr>
      </w:pPr>
    </w:p>
    <w:p>
      <w:pPr>
        <w:pStyle w:val="13"/>
        <w:numPr>
          <w:ilvl w:val="0"/>
          <w:numId w:val="0"/>
        </w:numPr>
        <w:rPr>
          <w:rFonts w:hint="eastAsia" w:ascii="黑体" w:hAnsi="黑体" w:eastAsia="黑体" w:cs="黑体"/>
          <w:b w:val="0"/>
          <w:bCs w:val="0"/>
          <w:sz w:val="32"/>
          <w:szCs w:val="32"/>
          <w:lang w:val="en-US" w:eastAsia="zh-CN"/>
        </w:rPr>
      </w:pPr>
    </w:p>
    <w:p>
      <w:pPr>
        <w:pStyle w:val="13"/>
        <w:numPr>
          <w:ilvl w:val="0"/>
          <w:numId w:val="0"/>
        </w:numPr>
        <w:rPr>
          <w:rFonts w:hint="eastAsia" w:ascii="黑体" w:hAnsi="黑体" w:eastAsia="黑体" w:cs="黑体"/>
          <w:b w:val="0"/>
          <w:bCs w:val="0"/>
          <w:sz w:val="32"/>
          <w:szCs w:val="32"/>
          <w:lang w:val="en-US" w:eastAsia="zh-CN"/>
        </w:rPr>
      </w:pPr>
    </w:p>
    <w:p>
      <w:pPr>
        <w:pStyle w:val="13"/>
        <w:numPr>
          <w:ilvl w:val="0"/>
          <w:numId w:val="0"/>
        </w:numPr>
        <w:rPr>
          <w:rFonts w:hint="eastAsia" w:ascii="黑体" w:hAnsi="黑体" w:eastAsia="黑体" w:cs="黑体"/>
          <w:b w:val="0"/>
          <w:bCs w:val="0"/>
          <w:sz w:val="32"/>
          <w:szCs w:val="32"/>
          <w:lang w:val="en-US" w:eastAsia="zh-CN"/>
        </w:rPr>
      </w:pPr>
    </w:p>
    <w:p>
      <w:pPr>
        <w:pStyle w:val="13"/>
        <w:numPr>
          <w:ilvl w:val="0"/>
          <w:numId w:val="0"/>
        </w:numPr>
        <w:rPr>
          <w:rFonts w:hint="eastAsia" w:ascii="黑体" w:hAnsi="黑体" w:eastAsia="黑体" w:cs="黑体"/>
          <w:b w:val="0"/>
          <w:bCs w:val="0"/>
          <w:sz w:val="32"/>
          <w:szCs w:val="32"/>
          <w:lang w:val="en-US" w:eastAsia="zh-CN"/>
        </w:rPr>
      </w:pPr>
    </w:p>
    <w:p>
      <w:pPr>
        <w:pStyle w:val="13"/>
        <w:rPr>
          <w:sz w:val="32"/>
          <w:szCs w:val="32"/>
        </w:rPr>
      </w:pP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2"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jc w:val="center"/>
      <w:textAlignment w:val="baseline"/>
      <w:rPr>
        <w:rStyle w:val="14"/>
        <w:rFonts w:ascii="Times New Roman" w:hAnsi="Times New Roman"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p>
    <w:pPr>
      <w:pStyle w:val="6"/>
      <w:widowControl/>
      <w:jc w:val="center"/>
      <w:textAlignment w:val="baseline"/>
      <w:rPr>
        <w:rStyle w:val="14"/>
        <w:rFonts w:ascii="Times New Roman" w:hAnsi="Times New Roman" w:eastAsia="宋体"/>
        <w:sz w:val="28"/>
        <w:szCs w:val="28"/>
      </w:rPr>
    </w:pPr>
    <w:r>
      <w:rPr>
        <w:rStyle w:val="14"/>
        <w:rFonts w:ascii="Times New Roman" w:hAnsi="Times New Roman" w:eastAsia="宋体"/>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widowControl/>
                            <w:jc w:val="center"/>
                            <w:textAlignment w:val="baseline"/>
                            <w:rPr>
                              <w:rStyle w:val="14"/>
                              <w:rFonts w:ascii="仿宋_GB2312" w:hAnsi="仿宋_GB2312" w:eastAsia="仿宋_GB2312"/>
                              <w:sz w:val="28"/>
                              <w:szCs w:val="28"/>
                            </w:rPr>
                          </w:pPr>
                        </w:p>
                        <w:p>
                          <w:pPr>
                            <w:textAlignment w:val="baseline"/>
                            <w:rPr>
                              <w:rStyle w:val="14"/>
                              <w:rFonts w:ascii="Times New Roman" w:hAnsi="Times New Roman" w:eastAsia="宋体"/>
                              <w:sz w:val="21"/>
                            </w:rPr>
                          </w:pPr>
                        </w:p>
                      </w:txbxContent>
                    </wps:txbx>
                    <wps:bodyPr lIns="0" tIns="0" rIns="0" bIns="0" anchor="t" anchorCtr="0" upright="1"/>
                  </wps:wsp>
                </a:graphicData>
              </a:graphic>
            </wp:anchor>
          </w:drawing>
        </mc:Choice>
        <mc:Fallback>
          <w:pict>
            <v:shape id="文本框 44"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7jl9IAAAAFAQAADwAAAAAAAAABACAAAAAiAAAAZHJz&#10;L2Rvd25yZXYueG1sUEsBAhQAFAAAAAgAh07iQOb1SyzRAQAApgMAAA4AAAAAAAAAAQAgAAAAIQEA&#10;AGRycy9lMm9Eb2MueG1sUEsFBgAAAAAGAAYAWQEAAGQFAAAAAA==&#10;">
              <v:fill on="f" focussize="0,0"/>
              <v:stroke on="f" weight="1.25pt"/>
              <v:imagedata o:title=""/>
              <o:lock v:ext="edit" aspectratio="f"/>
              <v:textbox inset="0mm,0mm,0mm,0mm">
                <w:txbxContent>
                  <w:p>
                    <w:pPr>
                      <w:pStyle w:val="6"/>
                      <w:widowControl/>
                      <w:jc w:val="center"/>
                      <w:textAlignment w:val="baseline"/>
                      <w:rPr>
                        <w:rStyle w:val="14"/>
                        <w:rFonts w:ascii="仿宋_GB2312" w:hAnsi="仿宋_GB2312" w:eastAsia="仿宋_GB2312"/>
                        <w:sz w:val="28"/>
                        <w:szCs w:val="28"/>
                      </w:rPr>
                    </w:pPr>
                  </w:p>
                  <w:p>
                    <w:pPr>
                      <w:textAlignment w:val="baseline"/>
                      <w:rPr>
                        <w:rStyle w:val="14"/>
                        <w:rFonts w:ascii="Times New Roman" w:hAnsi="Times New Roman" w:eastAsia="宋体"/>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textAlignment w:val="baseline"/>
      <w:rPr>
        <w:rStyle w:val="14"/>
        <w:rFonts w:ascii="Times New Roman" w:hAnsi="Times New Roman" w:eastAsia="宋体"/>
        <w:sz w:val="18"/>
        <w:szCs w:val="18"/>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35E01F"/>
    <w:multiLevelType w:val="singleLevel"/>
    <w:tmpl w:val="7635E01F"/>
    <w:lvl w:ilvl="0" w:tentative="0">
      <w:start w:val="1"/>
      <w:numFmt w:val="decimal"/>
      <w:lvlText w:val="%1."/>
      <w:lvlJc w:val="left"/>
      <w:pPr>
        <w:tabs>
          <w:tab w:val="left" w:pos="312"/>
        </w:tabs>
      </w:pPr>
    </w:lvl>
  </w:abstractNum>
  <w:abstractNum w:abstractNumId="1">
    <w:nsid w:val="7D728F56"/>
    <w:multiLevelType w:val="singleLevel"/>
    <w:tmpl w:val="7D728F5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2ODdhMGQyOWFmOTA4ZWU5MTRkNjhmY2Y3NmI4MTgifQ=="/>
  </w:docVars>
  <w:rsids>
    <w:rsidRoot w:val="64E5091C"/>
    <w:rsid w:val="00011E04"/>
    <w:rsid w:val="0003483A"/>
    <w:rsid w:val="00035C23"/>
    <w:rsid w:val="0003643D"/>
    <w:rsid w:val="000743DF"/>
    <w:rsid w:val="000B06B8"/>
    <w:rsid w:val="000C4241"/>
    <w:rsid w:val="000E07C6"/>
    <w:rsid w:val="000E17ED"/>
    <w:rsid w:val="00185DDF"/>
    <w:rsid w:val="001926C2"/>
    <w:rsid w:val="001B193B"/>
    <w:rsid w:val="001C46C3"/>
    <w:rsid w:val="001D39A8"/>
    <w:rsid w:val="001F0E5D"/>
    <w:rsid w:val="00202828"/>
    <w:rsid w:val="002043FC"/>
    <w:rsid w:val="002143E6"/>
    <w:rsid w:val="00245AD1"/>
    <w:rsid w:val="0027693A"/>
    <w:rsid w:val="002D0566"/>
    <w:rsid w:val="002F54B6"/>
    <w:rsid w:val="003041F2"/>
    <w:rsid w:val="00366835"/>
    <w:rsid w:val="003720E8"/>
    <w:rsid w:val="003858A7"/>
    <w:rsid w:val="003941B7"/>
    <w:rsid w:val="003D5ACF"/>
    <w:rsid w:val="003F4EFB"/>
    <w:rsid w:val="004101A3"/>
    <w:rsid w:val="00412BF1"/>
    <w:rsid w:val="004972DA"/>
    <w:rsid w:val="004A652E"/>
    <w:rsid w:val="004C434F"/>
    <w:rsid w:val="004D1112"/>
    <w:rsid w:val="004E45D1"/>
    <w:rsid w:val="00582CD5"/>
    <w:rsid w:val="005B5F80"/>
    <w:rsid w:val="006317FA"/>
    <w:rsid w:val="00655C88"/>
    <w:rsid w:val="00664635"/>
    <w:rsid w:val="006853F1"/>
    <w:rsid w:val="00694EF5"/>
    <w:rsid w:val="006D4981"/>
    <w:rsid w:val="00704240"/>
    <w:rsid w:val="00713E04"/>
    <w:rsid w:val="007A1659"/>
    <w:rsid w:val="007C3865"/>
    <w:rsid w:val="007E531E"/>
    <w:rsid w:val="0083348B"/>
    <w:rsid w:val="00893012"/>
    <w:rsid w:val="008B4BB9"/>
    <w:rsid w:val="008B54F5"/>
    <w:rsid w:val="008C4632"/>
    <w:rsid w:val="008C50E2"/>
    <w:rsid w:val="008E4543"/>
    <w:rsid w:val="0093112D"/>
    <w:rsid w:val="00980EA9"/>
    <w:rsid w:val="009D179E"/>
    <w:rsid w:val="009E36B4"/>
    <w:rsid w:val="009E41DF"/>
    <w:rsid w:val="00A01C88"/>
    <w:rsid w:val="00A01F5D"/>
    <w:rsid w:val="00A1385C"/>
    <w:rsid w:val="00A30A9A"/>
    <w:rsid w:val="00A861BE"/>
    <w:rsid w:val="00AB4520"/>
    <w:rsid w:val="00AD13CF"/>
    <w:rsid w:val="00AD1B88"/>
    <w:rsid w:val="00AE4698"/>
    <w:rsid w:val="00B6009D"/>
    <w:rsid w:val="00B732DF"/>
    <w:rsid w:val="00BC4781"/>
    <w:rsid w:val="00C02F75"/>
    <w:rsid w:val="00C16314"/>
    <w:rsid w:val="00C1736F"/>
    <w:rsid w:val="00C25041"/>
    <w:rsid w:val="00C33AE8"/>
    <w:rsid w:val="00CA54AE"/>
    <w:rsid w:val="00CB5133"/>
    <w:rsid w:val="00D02266"/>
    <w:rsid w:val="00D162AF"/>
    <w:rsid w:val="00D212C5"/>
    <w:rsid w:val="00D241C8"/>
    <w:rsid w:val="00D24A53"/>
    <w:rsid w:val="00D4377E"/>
    <w:rsid w:val="00D74A6E"/>
    <w:rsid w:val="00DA4531"/>
    <w:rsid w:val="00DD1110"/>
    <w:rsid w:val="00DE411C"/>
    <w:rsid w:val="00DF1E74"/>
    <w:rsid w:val="00E0668D"/>
    <w:rsid w:val="00E14B91"/>
    <w:rsid w:val="00E420DA"/>
    <w:rsid w:val="00E468FB"/>
    <w:rsid w:val="00EB312E"/>
    <w:rsid w:val="00ED358F"/>
    <w:rsid w:val="00EE0810"/>
    <w:rsid w:val="00F15029"/>
    <w:rsid w:val="00F37AEB"/>
    <w:rsid w:val="00F543D6"/>
    <w:rsid w:val="00FC63CF"/>
    <w:rsid w:val="00FD6A47"/>
    <w:rsid w:val="019C14B0"/>
    <w:rsid w:val="01BE7323"/>
    <w:rsid w:val="01CC27C5"/>
    <w:rsid w:val="022655F4"/>
    <w:rsid w:val="0305345B"/>
    <w:rsid w:val="040000C7"/>
    <w:rsid w:val="045931E7"/>
    <w:rsid w:val="0688788D"/>
    <w:rsid w:val="07F92E63"/>
    <w:rsid w:val="09287EA3"/>
    <w:rsid w:val="0A247833"/>
    <w:rsid w:val="0B3E3CF3"/>
    <w:rsid w:val="0B734FB2"/>
    <w:rsid w:val="0BF733BB"/>
    <w:rsid w:val="0C9A7B20"/>
    <w:rsid w:val="0D136775"/>
    <w:rsid w:val="0E783C64"/>
    <w:rsid w:val="104F5B7A"/>
    <w:rsid w:val="11083A01"/>
    <w:rsid w:val="12BE56F0"/>
    <w:rsid w:val="134F6100"/>
    <w:rsid w:val="135B3F3B"/>
    <w:rsid w:val="13970D51"/>
    <w:rsid w:val="13D07EF8"/>
    <w:rsid w:val="14761FEE"/>
    <w:rsid w:val="156244B1"/>
    <w:rsid w:val="18B24DE5"/>
    <w:rsid w:val="18BE44DB"/>
    <w:rsid w:val="1AA50CD5"/>
    <w:rsid w:val="1AAB408E"/>
    <w:rsid w:val="1D7019C1"/>
    <w:rsid w:val="1DD97567"/>
    <w:rsid w:val="1EA96DB1"/>
    <w:rsid w:val="1F5F3A9B"/>
    <w:rsid w:val="22123047"/>
    <w:rsid w:val="23072480"/>
    <w:rsid w:val="235E6824"/>
    <w:rsid w:val="2372766A"/>
    <w:rsid w:val="24BF68B5"/>
    <w:rsid w:val="274039CA"/>
    <w:rsid w:val="286340AA"/>
    <w:rsid w:val="2AD34958"/>
    <w:rsid w:val="2EB90CD5"/>
    <w:rsid w:val="2EC655D0"/>
    <w:rsid w:val="30521AC8"/>
    <w:rsid w:val="30563D76"/>
    <w:rsid w:val="31F340BE"/>
    <w:rsid w:val="32F627CE"/>
    <w:rsid w:val="33EC3D7C"/>
    <w:rsid w:val="3882287D"/>
    <w:rsid w:val="3AB27B21"/>
    <w:rsid w:val="3AF410E4"/>
    <w:rsid w:val="3B374AF5"/>
    <w:rsid w:val="3D934BE4"/>
    <w:rsid w:val="3E004EB1"/>
    <w:rsid w:val="3E9D7FAE"/>
    <w:rsid w:val="41BE631C"/>
    <w:rsid w:val="41EF2605"/>
    <w:rsid w:val="42644DA1"/>
    <w:rsid w:val="42CE3D31"/>
    <w:rsid w:val="43F62371"/>
    <w:rsid w:val="44910F62"/>
    <w:rsid w:val="454930C1"/>
    <w:rsid w:val="474B0214"/>
    <w:rsid w:val="475F022D"/>
    <w:rsid w:val="4AFC5EC9"/>
    <w:rsid w:val="4C8F32D7"/>
    <w:rsid w:val="4D877413"/>
    <w:rsid w:val="4EC53C9C"/>
    <w:rsid w:val="4F114F76"/>
    <w:rsid w:val="4F720285"/>
    <w:rsid w:val="50591CBD"/>
    <w:rsid w:val="5153670D"/>
    <w:rsid w:val="51FE1F11"/>
    <w:rsid w:val="52522CFB"/>
    <w:rsid w:val="54364D51"/>
    <w:rsid w:val="56F20776"/>
    <w:rsid w:val="575E3C09"/>
    <w:rsid w:val="57FA1FD8"/>
    <w:rsid w:val="598A44F6"/>
    <w:rsid w:val="5A2C21F1"/>
    <w:rsid w:val="5B7C0EBC"/>
    <w:rsid w:val="5D626E72"/>
    <w:rsid w:val="5E9D03F2"/>
    <w:rsid w:val="5EA91BC4"/>
    <w:rsid w:val="612F2126"/>
    <w:rsid w:val="61A65474"/>
    <w:rsid w:val="61B51362"/>
    <w:rsid w:val="61D513C0"/>
    <w:rsid w:val="62B070EA"/>
    <w:rsid w:val="647F1AD7"/>
    <w:rsid w:val="64E5091C"/>
    <w:rsid w:val="658A56E4"/>
    <w:rsid w:val="664C4021"/>
    <w:rsid w:val="664C572B"/>
    <w:rsid w:val="66F422E8"/>
    <w:rsid w:val="680D45AC"/>
    <w:rsid w:val="6A5A45AF"/>
    <w:rsid w:val="6AED1528"/>
    <w:rsid w:val="6D2239C8"/>
    <w:rsid w:val="6E7F7864"/>
    <w:rsid w:val="73D17116"/>
    <w:rsid w:val="75875C54"/>
    <w:rsid w:val="75A31161"/>
    <w:rsid w:val="77E522C1"/>
    <w:rsid w:val="793A6B74"/>
    <w:rsid w:val="79622923"/>
    <w:rsid w:val="79773EC2"/>
    <w:rsid w:val="79C41394"/>
    <w:rsid w:val="7AB9653C"/>
    <w:rsid w:val="7B0C77A9"/>
    <w:rsid w:val="7B971B69"/>
    <w:rsid w:val="7BC90616"/>
    <w:rsid w:val="7CFE5817"/>
    <w:rsid w:val="7D317B1D"/>
    <w:rsid w:val="7F0C3CF3"/>
    <w:rsid w:val="7FC62E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5"/>
      <w:ind w:left="356"/>
      <w:outlineLvl w:val="0"/>
    </w:pPr>
    <w:rPr>
      <w:rFonts w:ascii="宋体" w:hAnsi="宋体" w:cs="宋体"/>
      <w:b/>
      <w:bCs/>
      <w:sz w:val="24"/>
      <w:lang w:val="zh-CN" w:bidi="zh-CN"/>
    </w:rPr>
  </w:style>
  <w:style w:type="paragraph" w:styleId="2">
    <w:name w:val="heading 3"/>
    <w:basedOn w:val="1"/>
    <w:next w:val="1"/>
    <w:semiHidden/>
    <w:unhideWhenUsed/>
    <w:qFormat/>
    <w:uiPriority w:val="0"/>
    <w:pPr>
      <w:keepNext/>
      <w:spacing w:before="260" w:after="260" w:line="415" w:lineRule="auto"/>
      <w:outlineLvl w:val="2"/>
    </w:pPr>
    <w:rPr>
      <w:rFonts w:ascii="Calibri" w:hAnsi="Calibri"/>
      <w:b/>
      <w:kern w:val="0"/>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cs="宋体"/>
      <w:sz w:val="24"/>
      <w:lang w:val="zh-CN" w:bidi="zh-CN"/>
    </w:rPr>
  </w:style>
  <w:style w:type="paragraph" w:styleId="5">
    <w:name w:val="Body Text Indent 2"/>
    <w:basedOn w:val="1"/>
    <w:qFormat/>
    <w:uiPriority w:val="0"/>
    <w:pPr>
      <w:spacing w:after="120" w:line="480" w:lineRule="auto"/>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qFormat/>
    <w:uiPriority w:val="0"/>
    <w:rPr>
      <w:rFonts w:ascii="Times New Roman" w:hAnsi="Times New Roman" w:eastAsia="宋体" w:cs="Times New Roman"/>
      <w:color w:val="800080"/>
      <w:u w:val="single"/>
    </w:rPr>
  </w:style>
  <w:style w:type="paragraph" w:customStyle="1" w:styleId="13">
    <w:name w:val="Normal Indent_e6a12438-7098-4f4a-9b1a-eab7b63ff8d1"/>
    <w:basedOn w:val="1"/>
    <w:qFormat/>
    <w:uiPriority w:val="0"/>
    <w:pPr>
      <w:ind w:firstLine="880" w:firstLineChars="200"/>
    </w:pPr>
    <w:rPr>
      <w:rFonts w:ascii="Calibri" w:hAnsi="Calibri" w:eastAsia="宋体" w:cs="Times New Roman"/>
      <w:szCs w:val="24"/>
    </w:rPr>
  </w:style>
  <w:style w:type="character" w:customStyle="1" w:styleId="14">
    <w:name w:val="NormalCharacter"/>
    <w:semiHidden/>
    <w:qFormat/>
    <w:uiPriority w:val="0"/>
    <w:rPr>
      <w:rFonts w:eastAsia="方正仿宋简体" w:asciiTheme="minorHAnsi" w:hAnsiTheme="minorHAnsi" w:cstheme="minorBidi"/>
      <w:kern w:val="2"/>
      <w:sz w:val="32"/>
      <w:szCs w:val="24"/>
      <w:lang w:val="en-US" w:eastAsia="zh-CN" w:bidi="ar-SA"/>
    </w:rPr>
  </w:style>
  <w:style w:type="paragraph" w:customStyle="1" w:styleId="15">
    <w:name w:val="中等深浅列表 2 - 着色 21"/>
    <w:qFormat/>
    <w:uiPriority w:val="0"/>
    <w:rPr>
      <w:rFonts w:ascii="Times New Roman" w:hAnsi="Times New Roman" w:eastAsia="宋体" w:cs="Times New Roman"/>
      <w:kern w:val="2"/>
      <w:sz w:val="21"/>
      <w:szCs w:val="24"/>
      <w:lang w:val="en-US" w:eastAsia="zh-CN" w:bidi="ar-SA"/>
    </w:rPr>
  </w:style>
  <w:style w:type="character" w:customStyle="1" w:styleId="16">
    <w:name w:val="font01"/>
    <w:basedOn w:val="11"/>
    <w:qFormat/>
    <w:uiPriority w:val="0"/>
    <w:rPr>
      <w:rFonts w:hint="default" w:ascii="Arial" w:hAnsi="Arial" w:cs="Arial"/>
      <w:color w:val="000000"/>
      <w:sz w:val="20"/>
      <w:szCs w:val="20"/>
      <w:u w:val="none"/>
    </w:rPr>
  </w:style>
  <w:style w:type="character" w:customStyle="1" w:styleId="17">
    <w:name w:val="font11"/>
    <w:basedOn w:val="11"/>
    <w:qFormat/>
    <w:uiPriority w:val="0"/>
    <w:rPr>
      <w:rFonts w:hint="eastAsia" w:ascii="宋体" w:hAnsi="宋体" w:eastAsia="宋体" w:cs="宋体"/>
      <w:color w:val="000000"/>
      <w:sz w:val="20"/>
      <w:szCs w:val="20"/>
      <w:u w:val="none"/>
    </w:rPr>
  </w:style>
  <w:style w:type="paragraph" w:customStyle="1" w:styleId="18">
    <w:name w:val="Table Paragraph"/>
    <w:basedOn w:val="1"/>
    <w:qFormat/>
    <w:uiPriority w:val="1"/>
    <w:pPr>
      <w:spacing w:before="38"/>
      <w:ind w:left="116" w:right="482"/>
      <w:jc w:val="center"/>
    </w:pPr>
    <w:rPr>
      <w:rFonts w:ascii="宋体" w:hAnsi="宋体" w:cs="宋体"/>
      <w:lang w:val="zh-CN" w:bidi="zh-CN"/>
    </w:rPr>
  </w:style>
  <w:style w:type="paragraph" w:styleId="19">
    <w:name w:val="List Paragraph"/>
    <w:basedOn w:val="1"/>
    <w:qFormat/>
    <w:uiPriority w:val="34"/>
    <w:pPr>
      <w:ind w:firstLine="420" w:firstLineChars="200"/>
    </w:pPr>
  </w:style>
  <w:style w:type="character" w:customStyle="1" w:styleId="20">
    <w:name w:val="font21"/>
    <w:basedOn w:val="11"/>
    <w:qFormat/>
    <w:uiPriority w:val="0"/>
    <w:rPr>
      <w:rFonts w:hint="eastAsia" w:ascii="宋体" w:hAnsi="宋体" w:eastAsia="宋体" w:cs="宋体"/>
      <w:color w:val="000000"/>
      <w:sz w:val="22"/>
      <w:szCs w:val="22"/>
      <w:u w:val="none"/>
    </w:rPr>
  </w:style>
  <w:style w:type="character" w:customStyle="1" w:styleId="21">
    <w:name w:val="font41"/>
    <w:basedOn w:val="11"/>
    <w:qFormat/>
    <w:uiPriority w:val="0"/>
    <w:rPr>
      <w:rFonts w:hint="eastAsia" w:ascii="宋体" w:hAnsi="宋体" w:eastAsia="宋体" w:cs="宋体"/>
      <w:b/>
      <w:bCs/>
      <w:color w:val="FF0000"/>
      <w:sz w:val="26"/>
      <w:szCs w:val="2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12782</Words>
  <Characters>14108</Characters>
  <Lines>26</Lines>
  <Paragraphs>7</Paragraphs>
  <TotalTime>80</TotalTime>
  <ScaleCrop>false</ScaleCrop>
  <LinksUpToDate>false</LinksUpToDate>
  <CharactersWithSpaces>14404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2021-05-08T00:28:00Z</dcterms:created>
  <dc:creator>张群</dc:creator>
  <cp:lastModifiedBy>ASUS</cp:lastModifiedBy>
  <cp:lastPrinted>2022-12-07T02:04:00Z</cp:lastPrinted>
  <dcterms:modified xsi:type="dcterms:W3CDTF">2023-04-01T11:07:30Z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18515757DED64A2B8B35B748FFF75D0A</vt:lpwstr>
  </property>
</Properties>
</file>