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□ 全校党建工作标杆学院</w:t>
      </w:r>
      <w:r>
        <w:rPr>
          <w:rFonts w:ascii="黑体" w:hAnsi="黑体" w:eastAsia="黑体"/>
          <w:sz w:val="24"/>
        </w:rPr>
        <w:t xml:space="preserve"> 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□ 全校党建工作样板支部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  <w:t>西安体育学院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新时代党建“双创”工作</w:t>
      </w: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学院名称：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填报日期：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11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43"/>
        <w:gridCol w:w="226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办公电话/手机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学院（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全校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党建工作标杆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学院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 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全校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工作基础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：本单位党建工作体制机制、组织机构</w:t>
            </w:r>
            <w:r>
              <w:rPr>
                <w:rFonts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专职队伍情况，出台的重要政策、重大安排、重点举措，取得的进展成效、</w:t>
            </w:r>
            <w:r>
              <w:rPr>
                <w:rFonts w:ascii="Times New Roman" w:hAnsi="Times New Roman" w:eastAsia="仿宋_GB2312"/>
                <w:bCs/>
                <w:sz w:val="24"/>
              </w:rPr>
              <w:t>工作经验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、标志性成果</w:t>
            </w:r>
            <w:r>
              <w:rPr>
                <w:rFonts w:ascii="Times New Roman" w:hAnsi="Times New Roman" w:eastAsia="仿宋_GB2312"/>
                <w:bCs/>
                <w:sz w:val="24"/>
              </w:rPr>
              <w:t>等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  <w:r>
        <w:rPr>
          <w:rFonts w:ascii="Times New Roman" w:hAnsi="黑体" w:eastAsia="黑体"/>
          <w:bCs/>
          <w:sz w:val="28"/>
          <w:szCs w:val="32"/>
        </w:rPr>
        <w:t>建设计划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包括：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两</w:t>
            </w:r>
            <w:r>
              <w:rPr>
                <w:rFonts w:ascii="Times New Roman" w:hAnsi="Times New Roman" w:eastAsia="仿宋_GB2312"/>
                <w:bCs/>
                <w:sz w:val="24"/>
              </w:rPr>
              <w:t>年建设周期的总体思路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ascii="Times New Roman" w:hAnsi="Times New Roman" w:eastAsia="仿宋_GB2312"/>
                <w:bCs/>
                <w:sz w:val="24"/>
              </w:rPr>
              <w:t>建设目标、建设方案，各年度工作目标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、工作计划、工作</w:t>
            </w:r>
            <w:r>
              <w:rPr>
                <w:rFonts w:ascii="Times New Roman" w:hAnsi="Times New Roman" w:eastAsia="仿宋_GB2312"/>
                <w:bCs/>
                <w:sz w:val="24"/>
              </w:rPr>
              <w:t>举措，经费预算（分别列出年度预算和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两年</w:t>
            </w:r>
            <w:r>
              <w:rPr>
                <w:rFonts w:ascii="Times New Roman" w:hAnsi="Times New Roman" w:eastAsia="仿宋_GB2312"/>
                <w:bCs/>
                <w:sz w:val="24"/>
              </w:rPr>
              <w:t>总预算）等。思路、目标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、计划</w:t>
            </w:r>
            <w:r>
              <w:rPr>
                <w:rFonts w:ascii="Times New Roman" w:hAnsi="Times New Roman" w:eastAsia="仿宋_GB2312"/>
                <w:bCs/>
                <w:sz w:val="24"/>
              </w:rPr>
              <w:t>和举措要科学合理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ascii="Times New Roman" w:hAnsi="Times New Roman" w:eastAsia="仿宋_GB2312"/>
                <w:bCs/>
                <w:sz w:val="24"/>
              </w:rPr>
              <w:t>重点明确。可附页。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/>
          <w:bCs/>
          <w:sz w:val="32"/>
          <w:szCs w:val="32"/>
        </w:rPr>
      </w:pPr>
    </w:p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预期</w:t>
      </w:r>
      <w:r>
        <w:rPr>
          <w:rFonts w:hint="eastAsia" w:ascii="Times New Roman" w:hAnsi="黑体" w:eastAsia="黑体"/>
          <w:bCs/>
          <w:sz w:val="28"/>
          <w:szCs w:val="32"/>
        </w:rPr>
        <w:t>成</w:t>
      </w:r>
      <w:r>
        <w:rPr>
          <w:rFonts w:ascii="Times New Roman" w:hAnsi="黑体" w:eastAsia="黑体"/>
          <w:bCs/>
          <w:sz w:val="28"/>
          <w:szCs w:val="32"/>
        </w:rPr>
        <w:t>果</w:t>
      </w:r>
    </w:p>
    <w:tbl>
      <w:tblPr>
        <w:tblStyle w:val="11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  <w:jc w:val="center"/>
        </w:trPr>
        <w:tc>
          <w:tcPr>
            <w:tcW w:w="9113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包括：分别列出各年度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的预期工作成效</w:t>
            </w:r>
            <w:r>
              <w:rPr>
                <w:rFonts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预期创建</w:t>
            </w:r>
            <w:r>
              <w:rPr>
                <w:rFonts w:ascii="Times New Roman" w:hAnsi="Times New Roman" w:eastAsia="仿宋_GB2312"/>
                <w:bCs/>
                <w:sz w:val="24"/>
              </w:rPr>
              <w:t>成果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和预期推广成绩，每年度具体成果至少列明2项。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br w:type="page"/>
      </w:r>
      <w:r>
        <w:rPr>
          <w:rFonts w:ascii="Times New Roman" w:hAnsi="黑体" w:eastAsia="黑体"/>
          <w:bCs/>
          <w:sz w:val="28"/>
          <w:szCs w:val="32"/>
        </w:rPr>
        <w:t>工作保障</w:t>
      </w:r>
    </w:p>
    <w:tbl>
      <w:tblPr>
        <w:tblStyle w:val="11"/>
        <w:tblW w:w="9017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8" w:hRule="atLeast"/>
        </w:trPr>
        <w:tc>
          <w:tcPr>
            <w:tcW w:w="9017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包括：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配套政策</w:t>
            </w:r>
            <w:r>
              <w:rPr>
                <w:rFonts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资源投入、软</w:t>
            </w:r>
            <w:r>
              <w:rPr>
                <w:rFonts w:ascii="Times New Roman" w:hAnsi="Times New Roman" w:eastAsia="仿宋_GB2312"/>
                <w:bCs/>
                <w:sz w:val="24"/>
              </w:rPr>
              <w:t>硬件设施、经费支持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、条件保障</w:t>
            </w:r>
            <w:r>
              <w:rPr>
                <w:rFonts w:ascii="Times New Roman" w:hAnsi="Times New Roman" w:eastAsia="仿宋_GB2312"/>
                <w:bCs/>
                <w:sz w:val="24"/>
              </w:rPr>
              <w:t>等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spacing w:before="304" w:beforeLines="50" w:after="304" w:afterLines="50" w:line="400" w:lineRule="exact"/>
        <w:outlineLvl w:val="0"/>
        <w:rPr>
          <w:rFonts w:ascii="Times New Roman" w:hAnsi="Times New Roman" w:eastAsia="黑体"/>
          <w:bCs/>
          <w:sz w:val="28"/>
          <w:szCs w:val="32"/>
        </w:rPr>
        <w:sectPr>
          <w:footerReference r:id="rId6" w:type="first"/>
          <w:pgSz w:w="11906" w:h="16838"/>
          <w:pgMar w:top="1588" w:right="1588" w:bottom="1531" w:left="1304" w:header="851" w:footer="857" w:gutter="0"/>
          <w:pgNumType w:start="1"/>
          <w:cols w:space="425" w:num="1"/>
          <w:docGrid w:type="linesAndChars" w:linePitch="608" w:charSpace="-849"/>
        </w:sectPr>
      </w:pPr>
    </w:p>
    <w:p>
      <w:pPr>
        <w:pStyle w:val="16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二级单位党委（</w:t>
      </w:r>
      <w:r>
        <w:rPr>
          <w:rFonts w:ascii="Times New Roman" w:hAnsi="黑体" w:eastAsia="黑体"/>
          <w:bCs/>
          <w:sz w:val="28"/>
          <w:szCs w:val="32"/>
        </w:rPr>
        <w:t>党总支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）、直属党支部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8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应明确说明是否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bCs/>
                <w:sz w:val="24"/>
              </w:rPr>
              <w:t>是否同意申报。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/>
          <w:spacing w:val="-4"/>
          <w:sz w:val="28"/>
          <w:szCs w:val="32"/>
        </w:rPr>
        <w:t>另</w:t>
      </w:r>
      <w:r>
        <w:rPr>
          <w:rFonts w:ascii="Times New Roman" w:hAnsi="Times New Roman" w:eastAsia="仿宋_GB2312"/>
          <w:spacing w:val="-4"/>
          <w:sz w:val="28"/>
          <w:szCs w:val="32"/>
        </w:rPr>
        <w:t>附。</w:t>
      </w:r>
    </w:p>
    <w:p>
      <w:pPr>
        <w:spacing w:line="58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4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40DB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71DE5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D58B9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1298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E3D1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9731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0676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AEF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4287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3F7C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548C"/>
    <w:rsid w:val="00BD6BDB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383F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705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4A60"/>
    <w:rsid w:val="00E6605D"/>
    <w:rsid w:val="00E700BE"/>
    <w:rsid w:val="00E83DA6"/>
    <w:rsid w:val="00E8533F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35997908"/>
    <w:rsid w:val="72EB2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Char"/>
    <w:basedOn w:val="7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36A60-108D-4A95-9F2B-4D40F7BFB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2018-07-06T03:43:00Z</dcterms:created>
  <dc:creator>lenovo</dc:creator>
  <cp:lastModifiedBy>liyun</cp:lastModifiedBy>
  <cp:lastPrinted>2018-06-28T03:35:00Z</cp:lastPrinted>
  <dcterms:modified xsi:type="dcterms:W3CDTF">2019-11-12T02:17:16Z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