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8" w:lineRule="auto"/>
        <w:jc w:val="left"/>
        <w:rPr>
          <w:rFonts w:hint="eastAsia" w:ascii="黑体" w:hAnsi="黑体" w:eastAsia="黑体"/>
          <w:color w:val="2B2B2B"/>
          <w:sz w:val="36"/>
          <w:szCs w:val="36"/>
        </w:rPr>
      </w:pPr>
      <w:r>
        <w:rPr>
          <w:rFonts w:hint="eastAsia" w:ascii="黑体" w:hAnsi="黑体" w:eastAsia="黑体"/>
          <w:color w:val="2B2B2B"/>
          <w:sz w:val="36"/>
          <w:szCs w:val="36"/>
        </w:rPr>
        <w:t>附件1</w:t>
      </w:r>
    </w:p>
    <w:p>
      <w:pPr>
        <w:widowControl/>
        <w:snapToGrid w:val="0"/>
        <w:spacing w:line="338" w:lineRule="auto"/>
        <w:jc w:val="center"/>
        <w:rPr>
          <w:rFonts w:ascii="黑体" w:hAnsi="黑体" w:eastAsia="黑体"/>
          <w:color w:val="2B2B2B"/>
          <w:sz w:val="44"/>
          <w:szCs w:val="44"/>
        </w:rPr>
      </w:pPr>
      <w:r>
        <w:rPr>
          <w:rFonts w:hint="eastAsia" w:ascii="黑体" w:hAnsi="黑体" w:eastAsia="黑体"/>
          <w:color w:val="2B2B2B"/>
          <w:sz w:val="44"/>
          <w:szCs w:val="44"/>
        </w:rPr>
        <w:t>项目指南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重大疫情期间有关疾病预防、身体康复的锻炼方法研究；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重大疫情期间体育锻炼对疫情防控的作用与机理研究；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媒体与网络对重大疫情防控的影响研究；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重大疫情期间信息传播与舆论引导研究；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重大疫情对体育产业影响及对策研究；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重大疫情应急管理与风险管理研究；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围绕重大疫情防控的全民健身服务及相关法制研究；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武术、民传与民间体育对重大疫情期间民众身心健康影响的研究；</w:t>
      </w:r>
    </w:p>
    <w:p>
      <w:pPr>
        <w:numPr>
          <w:ilvl w:val="0"/>
          <w:numId w:val="1"/>
        </w:numPr>
        <w:snapToGrid w:val="0"/>
        <w:spacing w:line="338" w:lineRule="auto"/>
        <w:ind w:left="0"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重大疫情期间不同人群心理干预与疏导的相关研究；</w:t>
      </w:r>
    </w:p>
    <w:p>
      <w:pPr>
        <w:snapToGrid w:val="0"/>
        <w:spacing w:line="338" w:lineRule="auto"/>
        <w:ind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10. 体医融合在重大疫情防控中的实施方法与作用机理研究；</w:t>
      </w:r>
    </w:p>
    <w:p>
      <w:pPr>
        <w:snapToGrid w:val="0"/>
        <w:spacing w:line="338" w:lineRule="auto"/>
        <w:ind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11. 重大疫情防控与中国特色社会主义制度优势的研究；</w:t>
      </w:r>
    </w:p>
    <w:p>
      <w:pPr>
        <w:snapToGrid w:val="0"/>
        <w:spacing w:line="338" w:lineRule="auto"/>
        <w:ind w:firstLine="720" w:firstLineChars="225"/>
        <w:rPr>
          <w:rFonts w:hint="eastAsia" w:ascii="仿宋" w:hAnsi="仿宋" w:eastAsia="仿宋"/>
          <w:color w:val="2B2B2B"/>
          <w:sz w:val="32"/>
          <w:szCs w:val="32"/>
        </w:rPr>
      </w:pPr>
      <w:r>
        <w:rPr>
          <w:rFonts w:hint="eastAsia" w:ascii="仿宋" w:hAnsi="仿宋" w:eastAsia="仿宋"/>
          <w:color w:val="2B2B2B"/>
          <w:sz w:val="32"/>
          <w:szCs w:val="32"/>
        </w:rPr>
        <w:t>12. 重大疫情期间体育课程的教学模式与科学管理研究。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 xml:space="preserve">   </w:t>
      </w:r>
    </w:p>
    <w:p>
      <w:pPr>
        <w:widowControl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0131"/>
    <w:multiLevelType w:val="multilevel"/>
    <w:tmpl w:val="7F7C01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2020-02-19T10:27:16Z</dcterms:created>
  <dc:creator>guozi</dc:creator>
  <cp:lastModifiedBy>guozi</cp:lastModifiedBy>
  <dcterms:modified xsi:type="dcterms:W3CDTF">2020-02-19T10:27:51Z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