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新版收入申报系统操作讲解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各业务经办人通过西安体育学院财务处官网“财务网上综合服务平台”进入以下页面后，如下图所示：</w:t>
      </w:r>
    </w:p>
    <w:p>
      <w:r>
        <w:drawing>
          <wp:inline distT="0" distB="0" distL="114300" distR="114300">
            <wp:extent cx="5267325" cy="333184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随后进入新版收入申报的主界面，如图：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957195"/>
            <wp:effectExtent l="0" t="0" r="635" b="14605"/>
            <wp:docPr id="2" name="图片 2" descr="e7698eeeaa718fa6d7c8692eebc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698eeeaa718fa6d7c8692eebc89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主要菜单功能与老版收入申报系统的菜单功能基本一致，可直接按原流程方式使用。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菜单一览，如下图：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86680" cy="2955925"/>
            <wp:effectExtent l="0" t="0" r="10160" b="635"/>
            <wp:docPr id="3" name="图片 3" descr="278ab988bba4412dde6cac21816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8ab988bba4412dde6cac2181624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33370"/>
            <wp:effectExtent l="0" t="0" r="3810" b="1270"/>
            <wp:docPr id="4" name="图片 4" descr="a143bfd28b2dc852bda489fc7c7a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143bfd28b2dc852bda489fc7c7a0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30830"/>
            <wp:effectExtent l="0" t="0" r="635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620645"/>
            <wp:effectExtent l="0" t="0" r="317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832735"/>
            <wp:effectExtent l="0" t="0" r="889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233930"/>
            <wp:effectExtent l="0" t="0" r="3175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698115"/>
            <wp:effectExtent l="0" t="0" r="14605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506980"/>
            <wp:effectExtent l="0" t="0" r="6985" b="762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“其他工薪收入发放管理-单”下可以查看目前已保存/提交的申报流水信息，审核状态有“已保存”、“已提交”、“已审核”、“已退回”几个状态，对于已审核的有相关审核与凭证号信息。更多操作可以实现对，当前状态下的申报流水单的提交、复制、删除、打印等功能。如下图：</w:t>
      </w:r>
    </w:p>
    <w:p>
      <w:r>
        <w:drawing>
          <wp:inline distT="0" distB="0" distL="114300" distR="114300">
            <wp:extent cx="5269230" cy="1882140"/>
            <wp:effectExtent l="0" t="0" r="3810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355975"/>
            <wp:effectExtent l="0" t="0" r="63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因劳务收入申报与校内人员的申报流程环节基本一致，因此跳过。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主要针对校外人员信息采集进行说明。</w:t>
      </w:r>
    </w:p>
    <w:p>
      <w:r>
        <w:drawing>
          <wp:inline distT="0" distB="0" distL="114300" distR="114300">
            <wp:extent cx="5271135" cy="1810385"/>
            <wp:effectExtent l="0" t="0" r="1905" b="31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校外人员信息采集分两种方式：1新增2模板导入，如上图所示。</w:t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新增：如图所示：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46045"/>
            <wp:effectExtent l="0" t="0" r="8890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件类型用于区分国内居民和外籍人员，选择居民身份证，人员基础信息里则需要维护证件号、开户姓名、银行卡号、手机号、工作单位、国籍等信息。银行信息非校内工资卡所属行的则为跨行，是否跨行与开户行所属地区，开户行均需选择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577465"/>
            <wp:effectExtent l="0" t="0" r="1905" b="133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52065"/>
            <wp:effectExtent l="0" t="0" r="635" b="825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以上均为点中，提取。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为国内居民的不需要维护“其他信息”，而当校外人员信息采集要对外籍人员做信息采集时，首先证件类型选择护照号，除上述信息维护以外，还需维护其他信息中的出生日期、居住地区、居住省份、本年入境时间与预计离境时间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在采集模板下载后根据实际情况，部分内容需要做出相应调整，具体如下：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840230"/>
            <wp:effectExtent l="0" t="0" r="0" b="3810"/>
            <wp:docPr id="17" name="图片 17" descr="ec2671a3bc6125d43dba9a6d9e4d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c2671a3bc6125d43dba9a6d9e4d0e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2CC84"/>
    <w:multiLevelType w:val="singleLevel"/>
    <w:tmpl w:val="D352CC8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4YzNiZDMwNjY0ZDg3OGQ3ODY5YjJmNTRmNWYwNzYifQ=="/>
  </w:docVars>
  <w:rsids>
    <w:rsidRoot w:val="00000000"/>
    <w:rsid w:val="07A71B86"/>
    <w:rsid w:val="07FC7FBB"/>
    <w:rsid w:val="16466500"/>
    <w:rsid w:val="4BD07E59"/>
    <w:rsid w:val="4C1568E6"/>
    <w:rsid w:val="6392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590</Words>
  <Characters>590</Characters>
  <Lines>0</Lines>
  <Paragraphs>0</Paragraphs>
  <TotalTime>8</TotalTime>
  <ScaleCrop>false</ScaleCrop>
  <LinksUpToDate>false</LinksUpToDate>
  <CharactersWithSpaces>590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2022-05-08T14:51:00Z</dcterms:created>
  <dc:creator>aammm007</dc:creator>
  <cp:lastModifiedBy>中恺网络-尹涛</cp:lastModifiedBy>
  <dcterms:modified xsi:type="dcterms:W3CDTF">2022-08-26T14:25:59Z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ABEAA97994C7481192FF508AA176C142</vt:lpwstr>
  </property>
</Properties>
</file>