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3D" w:rsidRPr="00892A3D" w:rsidRDefault="00892A3D" w:rsidP="00892A3D">
      <w:pPr>
        <w:jc w:val="center"/>
        <w:rPr>
          <w:sz w:val="30"/>
          <w:szCs w:val="30"/>
        </w:rPr>
      </w:pPr>
      <w:r w:rsidRPr="00892A3D">
        <w:rPr>
          <w:b/>
          <w:bCs/>
          <w:sz w:val="30"/>
          <w:szCs w:val="30"/>
        </w:rPr>
        <w:t>关于深化改革推进高等教育内涵式发展的意见（</w:t>
      </w:r>
      <w:r w:rsidRPr="00892A3D">
        <w:rPr>
          <w:b/>
          <w:bCs/>
          <w:sz w:val="30"/>
          <w:szCs w:val="30"/>
        </w:rPr>
        <w:t>2014-2020</w:t>
      </w:r>
      <w:r w:rsidRPr="00892A3D">
        <w:rPr>
          <w:b/>
          <w:bCs/>
          <w:sz w:val="30"/>
          <w:szCs w:val="30"/>
        </w:rPr>
        <w:t>年）</w:t>
      </w:r>
      <w:r w:rsidRPr="00892A3D">
        <w:rPr>
          <w:sz w:val="30"/>
          <w:szCs w:val="30"/>
        </w:rPr>
        <w:br/>
      </w:r>
    </w:p>
    <w:p w:rsidR="00892A3D" w:rsidRPr="00892A3D" w:rsidRDefault="00892A3D" w:rsidP="00892A3D">
      <w:pPr>
        <w:rPr>
          <w:sz w:val="28"/>
          <w:szCs w:val="28"/>
        </w:rPr>
      </w:pPr>
      <w:r w:rsidRPr="00892A3D">
        <w:rPr>
          <w:sz w:val="28"/>
          <w:szCs w:val="28"/>
        </w:rPr>
        <w:t>    </w:t>
      </w:r>
      <w:r>
        <w:rPr>
          <w:rFonts w:hint="eastAsia"/>
          <w:sz w:val="28"/>
          <w:szCs w:val="28"/>
        </w:rPr>
        <w:t xml:space="preserve"> </w:t>
      </w:r>
      <w:r w:rsidRPr="00892A3D">
        <w:rPr>
          <w:sz w:val="28"/>
          <w:szCs w:val="28"/>
        </w:rPr>
        <w:t>  </w:t>
      </w:r>
      <w:r w:rsidRPr="00892A3D">
        <w:rPr>
          <w:sz w:val="28"/>
          <w:szCs w:val="28"/>
        </w:rPr>
        <w:t>为深入贯彻党的十八大及十八届三中全会精神，全面提高高等教育质量，确保教育大省地位不动摇、教育强省战略不动摇、教育</w:t>
      </w:r>
      <w:proofErr w:type="gramStart"/>
      <w:r w:rsidRPr="00892A3D">
        <w:rPr>
          <w:sz w:val="28"/>
          <w:szCs w:val="28"/>
        </w:rPr>
        <w:t>富民方针</w:t>
      </w:r>
      <w:proofErr w:type="gramEnd"/>
      <w:r w:rsidRPr="00892A3D">
        <w:rPr>
          <w:sz w:val="28"/>
          <w:szCs w:val="28"/>
        </w:rPr>
        <w:t>不动摇，现就进一步深化改革、推进高等教育内涵发展提出如下意见。</w:t>
      </w:r>
    </w:p>
    <w:p w:rsidR="00892A3D"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一、提高质量是高等教育改革发展</w:t>
      </w:r>
      <w:proofErr w:type="gramStart"/>
      <w:r w:rsidRPr="00892A3D">
        <w:rPr>
          <w:b/>
          <w:bCs/>
          <w:sz w:val="28"/>
          <w:szCs w:val="28"/>
        </w:rPr>
        <w:t>最</w:t>
      </w:r>
      <w:proofErr w:type="gramEnd"/>
      <w:r w:rsidRPr="00892A3D">
        <w:rPr>
          <w:b/>
          <w:bCs/>
          <w:sz w:val="28"/>
          <w:szCs w:val="28"/>
        </w:rPr>
        <w:t>核心最紧迫的任务。</w:t>
      </w:r>
      <w:r w:rsidRPr="00892A3D">
        <w:rPr>
          <w:sz w:val="28"/>
          <w:szCs w:val="28"/>
        </w:rPr>
        <w:t>经过多年的发展，我省高等教育的办学条件明显改善，服务经济社会发展的能力显著提升，为建设高教强省奠定了坚实基础。但同时，办学思路功利化、学科设置同质化、管理方式行政化的问题，以及高等教育日益突出的自身结构性矛盾等问题，制约了高等教育健康发展，与我省加快转变经济发展方式、建设</w:t>
      </w:r>
      <w:r w:rsidRPr="00892A3D">
        <w:rPr>
          <w:sz w:val="28"/>
          <w:szCs w:val="28"/>
        </w:rPr>
        <w:t>“</w:t>
      </w:r>
      <w:r w:rsidRPr="00892A3D">
        <w:rPr>
          <w:sz w:val="28"/>
          <w:szCs w:val="28"/>
        </w:rPr>
        <w:t>三个陕西</w:t>
      </w:r>
      <w:r w:rsidRPr="00892A3D">
        <w:rPr>
          <w:sz w:val="28"/>
          <w:szCs w:val="28"/>
        </w:rPr>
        <w:t>”</w:t>
      </w:r>
      <w:r w:rsidRPr="00892A3D">
        <w:rPr>
          <w:sz w:val="28"/>
          <w:szCs w:val="28"/>
        </w:rPr>
        <w:t>、共建丝绸之路经济带等重大战略任务的需求还有差距。我省高等教育必须不失时机地把工作重心转移到内涵建设、提高质量的轨道上来。</w:t>
      </w:r>
    </w:p>
    <w:p w:rsidR="00892A3D"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二、坚持内涵式发展。</w:t>
      </w:r>
      <w:r w:rsidRPr="00892A3D">
        <w:rPr>
          <w:sz w:val="28"/>
          <w:szCs w:val="28"/>
        </w:rPr>
        <w:t>牢固确立人才培养中心地位，坚持</w:t>
      </w:r>
      <w:r w:rsidRPr="00892A3D">
        <w:rPr>
          <w:sz w:val="28"/>
          <w:szCs w:val="28"/>
        </w:rPr>
        <w:t>“</w:t>
      </w:r>
      <w:r w:rsidRPr="00892A3D">
        <w:rPr>
          <w:sz w:val="28"/>
          <w:szCs w:val="28"/>
        </w:rPr>
        <w:t>稳定规模、优化结构、强化特色、注重创新</w:t>
      </w:r>
      <w:r w:rsidRPr="00892A3D">
        <w:rPr>
          <w:sz w:val="28"/>
          <w:szCs w:val="28"/>
        </w:rPr>
        <w:t>”</w:t>
      </w:r>
      <w:r w:rsidRPr="00892A3D">
        <w:rPr>
          <w:sz w:val="28"/>
          <w:szCs w:val="28"/>
        </w:rPr>
        <w:t>的总体要求和</w:t>
      </w:r>
      <w:r w:rsidRPr="00892A3D">
        <w:rPr>
          <w:sz w:val="28"/>
          <w:szCs w:val="28"/>
        </w:rPr>
        <w:t>“</w:t>
      </w:r>
      <w:r w:rsidRPr="00892A3D">
        <w:rPr>
          <w:sz w:val="28"/>
          <w:szCs w:val="28"/>
        </w:rPr>
        <w:t>转方式、调结构、促改革、扩开放、强保障</w:t>
      </w:r>
      <w:r w:rsidRPr="00892A3D">
        <w:rPr>
          <w:sz w:val="28"/>
          <w:szCs w:val="28"/>
        </w:rPr>
        <w:t>”</w:t>
      </w:r>
      <w:r w:rsidRPr="00892A3D">
        <w:rPr>
          <w:sz w:val="28"/>
          <w:szCs w:val="28"/>
        </w:rPr>
        <w:t>的工作思路，坚定不移走以质量提升为核心的内涵式发展道路。保持公办普通高校招生规模相对稳定，加快发展专业学位研究生教育和合作办学，适度扩大高等职业教育、继续教育、民办普通高校规模。优化高等学校区域布局结构，加大高等教育层次结构、学科专业结构调整力度，适应经济社会发展和人民群众接受多样化高等教育的需求。加强体制机制创新，加快重点领域和</w:t>
      </w:r>
      <w:r w:rsidRPr="00892A3D">
        <w:rPr>
          <w:sz w:val="28"/>
          <w:szCs w:val="28"/>
        </w:rPr>
        <w:lastRenderedPageBreak/>
        <w:t>关键环节改革步伐，创造有利于高等教育内涵式发展的政策环境。到</w:t>
      </w:r>
      <w:r w:rsidRPr="00892A3D">
        <w:rPr>
          <w:sz w:val="28"/>
          <w:szCs w:val="28"/>
        </w:rPr>
        <w:t>2020</w:t>
      </w:r>
      <w:r w:rsidRPr="00892A3D">
        <w:rPr>
          <w:sz w:val="28"/>
          <w:szCs w:val="28"/>
        </w:rPr>
        <w:t>年，建成教育强省，在西部地区率先基本实现高等教育现代化，进入人力资源强省行列；高等教育进入普及化阶段，毛入学率达到</w:t>
      </w:r>
      <w:r w:rsidRPr="00892A3D">
        <w:rPr>
          <w:sz w:val="28"/>
          <w:szCs w:val="28"/>
        </w:rPr>
        <w:t>60%</w:t>
      </w:r>
      <w:r w:rsidRPr="00892A3D">
        <w:rPr>
          <w:sz w:val="28"/>
          <w:szCs w:val="28"/>
        </w:rPr>
        <w:t>以上，综合实力保持全国优势地位。</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三、加强分类指导。</w:t>
      </w:r>
      <w:r w:rsidRPr="00892A3D">
        <w:rPr>
          <w:sz w:val="28"/>
          <w:szCs w:val="28"/>
        </w:rPr>
        <w:t>推进</w:t>
      </w:r>
      <w:r w:rsidRPr="00892A3D">
        <w:rPr>
          <w:sz w:val="28"/>
          <w:szCs w:val="28"/>
        </w:rPr>
        <w:t>“985</w:t>
      </w:r>
      <w:r w:rsidRPr="00892A3D">
        <w:rPr>
          <w:sz w:val="28"/>
          <w:szCs w:val="28"/>
        </w:rPr>
        <w:t>工程、</w:t>
      </w:r>
      <w:r w:rsidRPr="00892A3D">
        <w:rPr>
          <w:sz w:val="28"/>
          <w:szCs w:val="28"/>
        </w:rPr>
        <w:t>211</w:t>
      </w:r>
      <w:r w:rsidRPr="00892A3D">
        <w:rPr>
          <w:sz w:val="28"/>
          <w:szCs w:val="28"/>
        </w:rPr>
        <w:t>工程</w:t>
      </w:r>
      <w:r w:rsidRPr="00892A3D">
        <w:rPr>
          <w:sz w:val="28"/>
          <w:szCs w:val="28"/>
        </w:rPr>
        <w:t>”</w:t>
      </w:r>
      <w:r w:rsidRPr="00892A3D">
        <w:rPr>
          <w:sz w:val="28"/>
          <w:szCs w:val="28"/>
        </w:rPr>
        <w:t>大学、省属高水平大学、特色应用型本科院校、民办骨干高校和示范性高职院校发展，引导各类高校合理确定办学定位、发展规划及学科专业布局，在不同层次、不同领域错位发展、办出特色、争创一流。充分发挥市场在高等教育资源配置中的决定性作用，</w:t>
      </w:r>
      <w:proofErr w:type="gramStart"/>
      <w:r w:rsidRPr="00892A3D">
        <w:rPr>
          <w:sz w:val="28"/>
          <w:szCs w:val="28"/>
        </w:rPr>
        <w:t>扶需扶</w:t>
      </w:r>
      <w:proofErr w:type="gramEnd"/>
      <w:r w:rsidRPr="00892A3D">
        <w:rPr>
          <w:sz w:val="28"/>
          <w:szCs w:val="28"/>
        </w:rPr>
        <w:t>特强优。启动实施省内高校</w:t>
      </w:r>
      <w:r w:rsidRPr="00892A3D">
        <w:rPr>
          <w:sz w:val="28"/>
          <w:szCs w:val="28"/>
        </w:rPr>
        <w:t>“</w:t>
      </w:r>
      <w:r w:rsidRPr="00892A3D">
        <w:rPr>
          <w:sz w:val="28"/>
          <w:szCs w:val="28"/>
        </w:rPr>
        <w:t>对接牵手</w:t>
      </w:r>
      <w:r w:rsidRPr="00892A3D">
        <w:rPr>
          <w:sz w:val="28"/>
          <w:szCs w:val="28"/>
        </w:rPr>
        <w:t>”</w:t>
      </w:r>
      <w:r w:rsidRPr="00892A3D">
        <w:rPr>
          <w:sz w:val="28"/>
          <w:szCs w:val="28"/>
        </w:rPr>
        <w:t>计划，由</w:t>
      </w:r>
      <w:r w:rsidRPr="00892A3D">
        <w:rPr>
          <w:sz w:val="28"/>
          <w:szCs w:val="28"/>
        </w:rPr>
        <w:t>“985</w:t>
      </w:r>
      <w:r w:rsidRPr="00892A3D">
        <w:rPr>
          <w:sz w:val="28"/>
          <w:szCs w:val="28"/>
        </w:rPr>
        <w:t>工程、</w:t>
      </w:r>
      <w:r w:rsidRPr="00892A3D">
        <w:rPr>
          <w:sz w:val="28"/>
          <w:szCs w:val="28"/>
        </w:rPr>
        <w:t>211</w:t>
      </w:r>
      <w:r w:rsidRPr="00892A3D">
        <w:rPr>
          <w:sz w:val="28"/>
          <w:szCs w:val="28"/>
        </w:rPr>
        <w:t>工程</w:t>
      </w:r>
      <w:r w:rsidRPr="00892A3D">
        <w:rPr>
          <w:sz w:val="28"/>
          <w:szCs w:val="28"/>
        </w:rPr>
        <w:t>”</w:t>
      </w:r>
      <w:r w:rsidRPr="00892A3D">
        <w:rPr>
          <w:sz w:val="28"/>
          <w:szCs w:val="28"/>
        </w:rPr>
        <w:t>大学、省属高水平大学对其他本科高校开展对口帮扶。加强医学高校建设，扩大医学类专业招生规模，提高临床医学类本科专业生均拨款标准。</w:t>
      </w:r>
    </w:p>
    <w:p w:rsidR="00892A3D"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四、优化学科专业结构。</w:t>
      </w:r>
      <w:r w:rsidRPr="00892A3D">
        <w:rPr>
          <w:sz w:val="28"/>
          <w:szCs w:val="28"/>
        </w:rPr>
        <w:t>除国家控制布点专业外，高校按审核备案要求，可自主设置与调整专业。建立高校毕业生就业和重点产业人才供需年度报告制度，健全以就业为导向的专业预警、退出及统筹监管机制。支持高校建立学科动态调整机制，鼓励学科交叉与融合，进一步突出学科特色和优势。支持高校在现有一级学科授权点下设置和调整博士、硕士二级学科学位授权点。根据经济社会发展需求，增设硕士专业学位授权类别和授权点。具有学士及其以上学位授予权的高校自行审核新增学士学位授予专业。强化重点学科建设，巩固和提升现有国家重点学科水平，培育和扶持一批省级重点学科进入国家重点学科，遴选建设一批具有陕西特色的省级重点学科和新兴交叉学科，</w:t>
      </w:r>
      <w:r w:rsidRPr="00892A3D">
        <w:rPr>
          <w:sz w:val="28"/>
          <w:szCs w:val="28"/>
        </w:rPr>
        <w:lastRenderedPageBreak/>
        <w:t>加大对哲学社会科学学科建设支持力度。加强特色专业建设，开展专业综合改革，重点建设一批国家和省级专业综合改革试点项目，构建适应产业结构转型升级和文化事业发展需求的特色专业群。</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五、强化教学工作基础地位。</w:t>
      </w:r>
      <w:r w:rsidRPr="00892A3D">
        <w:rPr>
          <w:sz w:val="28"/>
          <w:szCs w:val="28"/>
        </w:rPr>
        <w:t>继续实施</w:t>
      </w:r>
      <w:r w:rsidRPr="00892A3D">
        <w:rPr>
          <w:sz w:val="28"/>
          <w:szCs w:val="28"/>
        </w:rPr>
        <w:t>“</w:t>
      </w:r>
      <w:r w:rsidRPr="00892A3D">
        <w:rPr>
          <w:sz w:val="28"/>
          <w:szCs w:val="28"/>
        </w:rPr>
        <w:t>本科教学工程</w:t>
      </w:r>
      <w:r w:rsidRPr="00892A3D">
        <w:rPr>
          <w:sz w:val="28"/>
          <w:szCs w:val="28"/>
        </w:rPr>
        <w:t>”</w:t>
      </w:r>
      <w:r w:rsidRPr="00892A3D">
        <w:rPr>
          <w:sz w:val="28"/>
          <w:szCs w:val="28"/>
        </w:rPr>
        <w:t>，引导高等学校把教学作为学校</w:t>
      </w:r>
      <w:proofErr w:type="gramStart"/>
      <w:r w:rsidRPr="00892A3D">
        <w:rPr>
          <w:sz w:val="28"/>
          <w:szCs w:val="28"/>
        </w:rPr>
        <w:t>最</w:t>
      </w:r>
      <w:proofErr w:type="gramEnd"/>
      <w:r w:rsidRPr="00892A3D">
        <w:rPr>
          <w:sz w:val="28"/>
          <w:szCs w:val="28"/>
        </w:rPr>
        <w:t>基础、最根本的工作。坚持落实教授为本专科生上课的基本制度，每位教授每学年至少为本专科生主讲一门课程，将承担本专科教学任务作为教授聘用与考核的基本条件，以学生评价作为重要的考核指标，改革教师评价体系，加快调整与完善职称评定、职务晋升、绩效考核、评优选先等政策，引导教师专注教学改革、潜心教书育人。突破体制机制障碍，制定鼓励大学生到省内企事业单位实习实践的政策，提高大学生创新精神和实践能力。</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六、创新人才培养机制。</w:t>
      </w:r>
      <w:r w:rsidRPr="00892A3D">
        <w:rPr>
          <w:sz w:val="28"/>
          <w:szCs w:val="28"/>
        </w:rPr>
        <w:t>围绕人才培养模式与教学体系改革，科学制定人才培养方案。</w:t>
      </w:r>
      <w:r w:rsidRPr="00892A3D">
        <w:rPr>
          <w:sz w:val="28"/>
          <w:szCs w:val="28"/>
        </w:rPr>
        <w:t xml:space="preserve"> </w:t>
      </w:r>
      <w:r w:rsidRPr="00892A3D">
        <w:rPr>
          <w:sz w:val="28"/>
          <w:szCs w:val="28"/>
        </w:rPr>
        <w:t>大力实施卓越人才培养计划，与相关用人单位联合，培养造就一大批创新能力强、适应经济社会发展需要的应用型、创新型、复合型优秀人才。建立健全动态跟踪和反映学生学习、实践、创新、品德等情况的综合考核评价体系。积极推进高校学分制改革和试点学院改革，落实高校审批学生转专业自主权，鼓励跨专业修读课程、辅修第二专业或修读第二学位。开展研究生教育综合改革试点，加强研究生创新实践基地建设，分类推进研究生培养模式和机制改革。探索试行普通高校、高职院校、成人高校间学分转换，拓宽终身学习渠道。</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七、建设优质教育资源共享体系。</w:t>
      </w:r>
      <w:r w:rsidRPr="00892A3D">
        <w:rPr>
          <w:sz w:val="28"/>
          <w:szCs w:val="28"/>
        </w:rPr>
        <w:t> </w:t>
      </w:r>
      <w:r w:rsidRPr="00892A3D">
        <w:rPr>
          <w:sz w:val="28"/>
          <w:szCs w:val="28"/>
        </w:rPr>
        <w:t>建立高校与相关部门、科研院</w:t>
      </w:r>
      <w:r w:rsidRPr="00892A3D">
        <w:rPr>
          <w:sz w:val="28"/>
          <w:szCs w:val="28"/>
        </w:rPr>
        <w:lastRenderedPageBreak/>
        <w:t>所、行业企业的共建平台，促进合作办学、合作育人、合作发展。探索建立大学联盟，推进高校之间教师互聘、学生互换、课程互选、学分互认。推进教学名师、精品开放课程、图书资料、大型仪器设备、信息化资源等资源共享平台建设，实现区域内高校资源共享、优势互补。引导和鼓励高校教师把最新科研成果转化为教学资源。探索建设高校大型网络公开课（</w:t>
      </w:r>
      <w:r w:rsidRPr="00892A3D">
        <w:rPr>
          <w:sz w:val="28"/>
          <w:szCs w:val="28"/>
        </w:rPr>
        <w:t>MOOC</w:t>
      </w:r>
      <w:r w:rsidRPr="00892A3D">
        <w:rPr>
          <w:sz w:val="28"/>
          <w:szCs w:val="28"/>
        </w:rPr>
        <w:t>）平台。</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八、大力推进协同创新。</w:t>
      </w:r>
      <w:r w:rsidRPr="00892A3D">
        <w:rPr>
          <w:sz w:val="28"/>
          <w:szCs w:val="28"/>
        </w:rPr>
        <w:t> </w:t>
      </w:r>
      <w:r w:rsidRPr="00892A3D">
        <w:rPr>
          <w:sz w:val="28"/>
          <w:szCs w:val="28"/>
        </w:rPr>
        <w:t>围绕国家和陕西支柱特色产业，推进高校创新能力提升计划（即</w:t>
      </w:r>
      <w:r w:rsidRPr="00892A3D">
        <w:rPr>
          <w:sz w:val="28"/>
          <w:szCs w:val="28"/>
        </w:rPr>
        <w:t>“2011</w:t>
      </w:r>
      <w:r w:rsidRPr="00892A3D">
        <w:rPr>
          <w:sz w:val="28"/>
          <w:szCs w:val="28"/>
        </w:rPr>
        <w:t>计划</w:t>
      </w:r>
      <w:r w:rsidRPr="00892A3D">
        <w:rPr>
          <w:sz w:val="28"/>
          <w:szCs w:val="28"/>
        </w:rPr>
        <w:t>”)</w:t>
      </w:r>
      <w:r w:rsidRPr="00892A3D">
        <w:rPr>
          <w:sz w:val="28"/>
          <w:szCs w:val="28"/>
        </w:rPr>
        <w:t>，重点建设一批省级协同创新中心。加强高校哲学社会科学重点研究基地和智库建设，繁荣哲学社会科学。支持高校参与技术创新体系建设，组织高校积极参与产学研战略联盟，推进校企、校地合作。加强知识产权应用和保护，健全高校创新激励机制。建立高校科技成果发布对接制度。</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九、实施人才强校战略。</w:t>
      </w:r>
      <w:r w:rsidRPr="00892A3D">
        <w:rPr>
          <w:sz w:val="28"/>
          <w:szCs w:val="28"/>
        </w:rPr>
        <w:t>将高校高层次人才纳入各级人才培养引进资助计划和建设项目。支持高校积极参与国家</w:t>
      </w:r>
      <w:r w:rsidRPr="00892A3D">
        <w:rPr>
          <w:sz w:val="28"/>
          <w:szCs w:val="28"/>
        </w:rPr>
        <w:t>“</w:t>
      </w:r>
      <w:r w:rsidRPr="00892A3D">
        <w:rPr>
          <w:sz w:val="28"/>
          <w:szCs w:val="28"/>
        </w:rPr>
        <w:t>千人计划</w:t>
      </w:r>
      <w:r w:rsidRPr="00892A3D">
        <w:rPr>
          <w:sz w:val="28"/>
          <w:szCs w:val="28"/>
        </w:rPr>
        <w:t>”“</w:t>
      </w:r>
      <w:r w:rsidRPr="00892A3D">
        <w:rPr>
          <w:sz w:val="28"/>
          <w:szCs w:val="28"/>
        </w:rPr>
        <w:t>长江学者奖励计划</w:t>
      </w:r>
      <w:r w:rsidRPr="00892A3D">
        <w:rPr>
          <w:sz w:val="28"/>
          <w:szCs w:val="28"/>
        </w:rPr>
        <w:t>”“</w:t>
      </w:r>
      <w:r w:rsidRPr="00892A3D">
        <w:rPr>
          <w:sz w:val="28"/>
          <w:szCs w:val="28"/>
        </w:rPr>
        <w:t>万人计划</w:t>
      </w:r>
      <w:r w:rsidRPr="00892A3D">
        <w:rPr>
          <w:sz w:val="28"/>
          <w:szCs w:val="28"/>
        </w:rPr>
        <w:t>”“</w:t>
      </w:r>
      <w:r w:rsidRPr="00892A3D">
        <w:rPr>
          <w:sz w:val="28"/>
          <w:szCs w:val="28"/>
        </w:rPr>
        <w:t>创新团队发展计划</w:t>
      </w:r>
      <w:r w:rsidRPr="00892A3D">
        <w:rPr>
          <w:sz w:val="28"/>
          <w:szCs w:val="28"/>
        </w:rPr>
        <w:t>”“</w:t>
      </w:r>
      <w:r w:rsidRPr="00892A3D">
        <w:rPr>
          <w:sz w:val="28"/>
          <w:szCs w:val="28"/>
        </w:rPr>
        <w:t>新世纪百千万人才工程</w:t>
      </w:r>
      <w:r w:rsidRPr="00892A3D">
        <w:rPr>
          <w:sz w:val="28"/>
          <w:szCs w:val="28"/>
        </w:rPr>
        <w:t>”“</w:t>
      </w:r>
      <w:r w:rsidRPr="00892A3D">
        <w:rPr>
          <w:sz w:val="28"/>
          <w:szCs w:val="28"/>
        </w:rPr>
        <w:t>科技新星</w:t>
      </w:r>
      <w:r w:rsidRPr="00892A3D">
        <w:rPr>
          <w:sz w:val="28"/>
          <w:szCs w:val="28"/>
        </w:rPr>
        <w:t>”</w:t>
      </w:r>
      <w:r w:rsidRPr="00892A3D">
        <w:rPr>
          <w:sz w:val="28"/>
          <w:szCs w:val="28"/>
        </w:rPr>
        <w:t>和国家杰出青年科学基金项目，继续实施陕西省</w:t>
      </w:r>
      <w:r w:rsidRPr="00892A3D">
        <w:rPr>
          <w:sz w:val="28"/>
          <w:szCs w:val="28"/>
        </w:rPr>
        <w:t>“</w:t>
      </w:r>
      <w:r w:rsidRPr="00892A3D">
        <w:rPr>
          <w:sz w:val="28"/>
          <w:szCs w:val="28"/>
        </w:rPr>
        <w:t>百人计划</w:t>
      </w:r>
      <w:r w:rsidRPr="00892A3D">
        <w:rPr>
          <w:sz w:val="28"/>
          <w:szCs w:val="28"/>
        </w:rPr>
        <w:t>”</w:t>
      </w:r>
      <w:r w:rsidRPr="00892A3D">
        <w:rPr>
          <w:sz w:val="28"/>
          <w:szCs w:val="28"/>
        </w:rPr>
        <w:t>和</w:t>
      </w:r>
      <w:r w:rsidRPr="00892A3D">
        <w:rPr>
          <w:sz w:val="28"/>
          <w:szCs w:val="28"/>
        </w:rPr>
        <w:t>“</w:t>
      </w:r>
      <w:r w:rsidRPr="00892A3D">
        <w:rPr>
          <w:sz w:val="28"/>
          <w:szCs w:val="28"/>
        </w:rPr>
        <w:t>三秦学者计划</w:t>
      </w:r>
      <w:r w:rsidRPr="00892A3D">
        <w:rPr>
          <w:sz w:val="28"/>
          <w:szCs w:val="28"/>
        </w:rPr>
        <w:t>”</w:t>
      </w:r>
      <w:r w:rsidRPr="00892A3D">
        <w:rPr>
          <w:sz w:val="28"/>
          <w:szCs w:val="28"/>
        </w:rPr>
        <w:t>。实施省内访问学者交流计划。支持高校领军人才面向产业需求组建创新团队，开展科技攻关。建设一批教师发展中心，加强师德师风建设，提升中青年教师职业素养、执教能力和整体水平。各设区市要加强对所属高校人才队伍建设的支持力度。</w:t>
      </w:r>
    </w:p>
    <w:p w:rsidR="00892A3D"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十、改革招生考试制度。</w:t>
      </w:r>
      <w:r w:rsidRPr="00892A3D">
        <w:rPr>
          <w:sz w:val="28"/>
          <w:szCs w:val="28"/>
        </w:rPr>
        <w:t>支持省属高水平大学开展自主招生改革试点。逐步推行普通高校基于统一高考和高中学业水平考试成绩的综</w:t>
      </w:r>
      <w:r w:rsidRPr="00892A3D">
        <w:rPr>
          <w:sz w:val="28"/>
          <w:szCs w:val="28"/>
        </w:rPr>
        <w:lastRenderedPageBreak/>
        <w:t>合评价多元录取机制。支持高校建立博士研究生招生</w:t>
      </w:r>
      <w:r w:rsidRPr="00892A3D">
        <w:rPr>
          <w:sz w:val="28"/>
          <w:szCs w:val="28"/>
        </w:rPr>
        <w:t>“</w:t>
      </w:r>
      <w:r w:rsidRPr="00892A3D">
        <w:rPr>
          <w:sz w:val="28"/>
          <w:szCs w:val="28"/>
        </w:rPr>
        <w:t>申请</w:t>
      </w:r>
      <w:r w:rsidRPr="00892A3D">
        <w:rPr>
          <w:sz w:val="28"/>
          <w:szCs w:val="28"/>
        </w:rPr>
        <w:t>—</w:t>
      </w:r>
      <w:r w:rsidRPr="00892A3D">
        <w:rPr>
          <w:sz w:val="28"/>
          <w:szCs w:val="28"/>
        </w:rPr>
        <w:t>审核</w:t>
      </w:r>
      <w:r w:rsidRPr="00892A3D">
        <w:rPr>
          <w:sz w:val="28"/>
          <w:szCs w:val="28"/>
        </w:rPr>
        <w:t>”</w:t>
      </w:r>
      <w:r w:rsidRPr="00892A3D">
        <w:rPr>
          <w:sz w:val="28"/>
          <w:szCs w:val="28"/>
        </w:rPr>
        <w:t>机制和博士研究生中期分流名额补充机制、特殊人才选拔机制，支持研究生培养单位在国家下达研究生招生总规模下，自主调整各学科研究生招生数量。积极推进高职院校分类招考或注册入学试点，支持高职院校实行</w:t>
      </w:r>
      <w:r w:rsidRPr="00892A3D">
        <w:rPr>
          <w:sz w:val="28"/>
          <w:szCs w:val="28"/>
        </w:rPr>
        <w:t>“</w:t>
      </w:r>
      <w:r w:rsidRPr="00892A3D">
        <w:rPr>
          <w:sz w:val="28"/>
          <w:szCs w:val="28"/>
        </w:rPr>
        <w:t>知识</w:t>
      </w:r>
      <w:r w:rsidRPr="00892A3D">
        <w:rPr>
          <w:sz w:val="28"/>
          <w:szCs w:val="28"/>
        </w:rPr>
        <w:t>+</w:t>
      </w:r>
      <w:r w:rsidRPr="00892A3D">
        <w:rPr>
          <w:sz w:val="28"/>
          <w:szCs w:val="28"/>
        </w:rPr>
        <w:t>技能</w:t>
      </w:r>
      <w:r w:rsidRPr="00892A3D">
        <w:rPr>
          <w:sz w:val="28"/>
          <w:szCs w:val="28"/>
        </w:rPr>
        <w:t>”</w:t>
      </w:r>
      <w:r w:rsidRPr="00892A3D">
        <w:rPr>
          <w:sz w:val="28"/>
          <w:szCs w:val="28"/>
        </w:rPr>
        <w:t>考试评价方式招收中职毕业生。</w:t>
      </w:r>
    </w:p>
    <w:p w:rsidR="00892A3D"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十一、提升国际化水平。</w:t>
      </w:r>
      <w:r w:rsidRPr="00892A3D">
        <w:rPr>
          <w:sz w:val="28"/>
          <w:szCs w:val="28"/>
        </w:rPr>
        <w:t>支持高校与国（境）外知名大学开展学术交流合作，吸引其来陕合作办学。</w:t>
      </w:r>
      <w:r w:rsidRPr="00892A3D">
        <w:rPr>
          <w:sz w:val="28"/>
          <w:szCs w:val="28"/>
        </w:rPr>
        <w:t xml:space="preserve"> </w:t>
      </w:r>
      <w:r w:rsidRPr="00892A3D">
        <w:rPr>
          <w:sz w:val="28"/>
          <w:szCs w:val="28"/>
        </w:rPr>
        <w:t>支持与国（境）</w:t>
      </w:r>
      <w:proofErr w:type="gramStart"/>
      <w:r w:rsidRPr="00892A3D">
        <w:rPr>
          <w:sz w:val="28"/>
          <w:szCs w:val="28"/>
        </w:rPr>
        <w:t>外大学</w:t>
      </w:r>
      <w:proofErr w:type="gramEnd"/>
      <w:r w:rsidRPr="00892A3D">
        <w:rPr>
          <w:sz w:val="28"/>
          <w:szCs w:val="28"/>
        </w:rPr>
        <w:t>开展学生互换、学分互认、学位</w:t>
      </w:r>
      <w:proofErr w:type="gramStart"/>
      <w:r w:rsidRPr="00892A3D">
        <w:rPr>
          <w:sz w:val="28"/>
          <w:szCs w:val="28"/>
        </w:rPr>
        <w:t>互授联授</w:t>
      </w:r>
      <w:proofErr w:type="gramEnd"/>
      <w:r w:rsidRPr="00892A3D">
        <w:rPr>
          <w:sz w:val="28"/>
          <w:szCs w:val="28"/>
        </w:rPr>
        <w:t>。支持中青年优秀教师积极申报和争取国际知名基金项目，鼓励有条件的高校到国（境）外开办孔子学院和孔子课堂，支持我省高校积极引进高水平外籍专家学者和优秀留学回国人员来陕任教、讲学、合作科研和参与高校管理。实施高校教师及管理人员出国（境）培训、研修与党政机关人员出访培训分类管理改革，增加高校教师及管理人员出国（境）培训数量，简化办理手续。支持高校教师及管理人员赴国（境）外研修、开展学术交流和培训。设立三秦留学生奖学金，扩大来陕留学生规模，使陕西成为重要的留学目的地。积极做好丝绸之路经济带建设在教育领域的合作与交流项目。</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十二、深化人事管理制度改革。</w:t>
      </w:r>
      <w:r w:rsidRPr="00892A3D">
        <w:rPr>
          <w:sz w:val="28"/>
          <w:szCs w:val="28"/>
        </w:rPr>
        <w:t>以健全聘用制度和岗位管理制度为重点，进一步深化高校人事制度改革，实现由固定用人向合同用人转变，由身份管理向岗位管理转变。改进高校专业技术人员任职资格评审工作，用</w:t>
      </w:r>
      <w:r w:rsidRPr="00892A3D">
        <w:rPr>
          <w:sz w:val="28"/>
          <w:szCs w:val="28"/>
        </w:rPr>
        <w:t>3</w:t>
      </w:r>
      <w:r w:rsidRPr="00892A3D">
        <w:rPr>
          <w:sz w:val="28"/>
          <w:szCs w:val="28"/>
        </w:rPr>
        <w:t>年左右的时间，逐步将教师、自然科学研究、实验技术和社会科学研究（包括教育管理、图书资料）等人员专业技术职务</w:t>
      </w:r>
      <w:r w:rsidRPr="00892A3D">
        <w:rPr>
          <w:sz w:val="28"/>
          <w:szCs w:val="28"/>
        </w:rPr>
        <w:lastRenderedPageBreak/>
        <w:t>评审权交由符合条件的高校组织实施。探索建立高校关键岗位和重大项目负责人全球招聘制度。启动高校重新核编的工作。支持高校按照现有在册正式工作人员数量为基数设置岗位，并可根据变化适时调整岗位设置方案。高校应确保教师岗位占教职工总量的</w:t>
      </w:r>
      <w:r w:rsidRPr="00892A3D">
        <w:rPr>
          <w:sz w:val="28"/>
          <w:szCs w:val="28"/>
        </w:rPr>
        <w:t>55%</w:t>
      </w:r>
      <w:r w:rsidRPr="00892A3D">
        <w:rPr>
          <w:sz w:val="28"/>
          <w:szCs w:val="28"/>
        </w:rPr>
        <w:t>以上，专业技术高级岗位应向教学科研一线倾斜，管理人员一般不得聘用到专业技术岗位。高校年度增人计划应主要用于引进急需的高层次人才。对引进的国家</w:t>
      </w:r>
      <w:r w:rsidRPr="00892A3D">
        <w:rPr>
          <w:sz w:val="28"/>
          <w:szCs w:val="28"/>
        </w:rPr>
        <w:t>“</w:t>
      </w:r>
      <w:r w:rsidRPr="00892A3D">
        <w:rPr>
          <w:sz w:val="28"/>
          <w:szCs w:val="28"/>
        </w:rPr>
        <w:t>千人计划</w:t>
      </w:r>
      <w:r w:rsidRPr="00892A3D">
        <w:rPr>
          <w:sz w:val="28"/>
          <w:szCs w:val="28"/>
        </w:rPr>
        <w:t>”</w:t>
      </w:r>
      <w:r w:rsidRPr="00892A3D">
        <w:rPr>
          <w:sz w:val="28"/>
          <w:szCs w:val="28"/>
        </w:rPr>
        <w:t>、省</w:t>
      </w:r>
      <w:r w:rsidRPr="00892A3D">
        <w:rPr>
          <w:sz w:val="28"/>
          <w:szCs w:val="28"/>
        </w:rPr>
        <w:t>“</w:t>
      </w:r>
      <w:r w:rsidRPr="00892A3D">
        <w:rPr>
          <w:sz w:val="28"/>
          <w:szCs w:val="28"/>
        </w:rPr>
        <w:t>三秦学者计划</w:t>
      </w:r>
      <w:r w:rsidRPr="00892A3D">
        <w:rPr>
          <w:sz w:val="28"/>
          <w:szCs w:val="28"/>
        </w:rPr>
        <w:t>”</w:t>
      </w:r>
      <w:r w:rsidRPr="00892A3D">
        <w:rPr>
          <w:sz w:val="28"/>
          <w:szCs w:val="28"/>
        </w:rPr>
        <w:t>人选，可按照规定申请设置特设岗位，不受岗位总量、结构比例和最高等级限制。建立和完善专业技术职务评聘与岗位聘用相结合的用人制度，在核定的岗位结构比例内，高校按规定程序自主进行教师等专业技术岗位聘用工作。</w:t>
      </w:r>
    </w:p>
    <w:p w:rsidR="00892A3D"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 </w:t>
      </w:r>
      <w:r w:rsidRPr="00892A3D">
        <w:rPr>
          <w:b/>
          <w:bCs/>
          <w:sz w:val="28"/>
          <w:szCs w:val="28"/>
        </w:rPr>
        <w:t>十三、完善质量评价机制。</w:t>
      </w:r>
      <w:r w:rsidRPr="00892A3D">
        <w:rPr>
          <w:sz w:val="28"/>
          <w:szCs w:val="28"/>
        </w:rPr>
        <w:t>逐步建立符合国家标准、适应省情的高等教育质量标准体系，把对区域经济建设的支撑度、对教育强省建设的贡献度、人民群众的满意度作为衡量的重要标准。积极探索</w:t>
      </w:r>
      <w:r w:rsidRPr="00892A3D">
        <w:rPr>
          <w:sz w:val="28"/>
          <w:szCs w:val="28"/>
        </w:rPr>
        <w:t>“</w:t>
      </w:r>
      <w:r w:rsidRPr="00892A3D">
        <w:rPr>
          <w:sz w:val="28"/>
          <w:szCs w:val="28"/>
        </w:rPr>
        <w:t>管办评分离</w:t>
      </w:r>
      <w:r w:rsidRPr="00892A3D">
        <w:rPr>
          <w:sz w:val="28"/>
          <w:szCs w:val="28"/>
        </w:rPr>
        <w:t>”</w:t>
      </w:r>
      <w:r w:rsidRPr="00892A3D">
        <w:rPr>
          <w:sz w:val="28"/>
          <w:szCs w:val="28"/>
        </w:rPr>
        <w:t>的工作机制，加强分类评估、分类指导，建立以高校自我评估为基础，以教育教学基本状态数据常态监测、院校评估、专业认证及评估、国际评估为主要内容，政府、学校、专门机构和社会多元评价相结合的教学评估制度。加强评估机构建设，建立教育质量年度报告发布制度。</w:t>
      </w:r>
    </w:p>
    <w:p w:rsidR="00892A3D"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十四、加快构建现代大学制度。</w:t>
      </w:r>
      <w:r w:rsidRPr="00892A3D">
        <w:rPr>
          <w:sz w:val="28"/>
          <w:szCs w:val="28"/>
        </w:rPr>
        <w:t>依法落实和扩大高校办学自主权，规范大学章程的制定与管理，构建依法办学、自主管理、民主监督、社会参与的现代大学制度。坚持和完善党委领导下的校长负责制，健全议事规则和决策程序，依法落实职责和职权，开展校长目标任期责</w:t>
      </w:r>
      <w:r w:rsidRPr="00892A3D">
        <w:rPr>
          <w:sz w:val="28"/>
          <w:szCs w:val="28"/>
        </w:rPr>
        <w:lastRenderedPageBreak/>
        <w:t>任考核。加强学术组织建设，优化校院两级学术组织构架，发挥学术委员会在学科建设、学术发展、学术评价中的作用。推进教授治学工作，发挥教授在教学、科学研究和学校管理中的作用。探索高校理事会或董事会组建模式，建立健全社会支持和监督学校发展的长效机制。</w:t>
      </w:r>
    </w:p>
    <w:p w:rsidR="00892A3D" w:rsidRPr="00892A3D" w:rsidRDefault="00892A3D" w:rsidP="00892A3D">
      <w:pPr>
        <w:rPr>
          <w:sz w:val="28"/>
          <w:szCs w:val="28"/>
        </w:rPr>
      </w:pPr>
      <w:r w:rsidRPr="00892A3D">
        <w:rPr>
          <w:b/>
          <w:bCs/>
          <w:sz w:val="28"/>
          <w:szCs w:val="28"/>
        </w:rPr>
        <w:t>      </w:t>
      </w:r>
      <w:r>
        <w:rPr>
          <w:rFonts w:hint="eastAsia"/>
          <w:b/>
          <w:bCs/>
          <w:sz w:val="28"/>
          <w:szCs w:val="28"/>
        </w:rPr>
        <w:t xml:space="preserve"> </w:t>
      </w:r>
      <w:r w:rsidRPr="00892A3D">
        <w:rPr>
          <w:b/>
          <w:bCs/>
          <w:sz w:val="28"/>
          <w:szCs w:val="28"/>
        </w:rPr>
        <w:t>十五、加大保障力度。</w:t>
      </w:r>
      <w:r w:rsidRPr="00892A3D">
        <w:rPr>
          <w:sz w:val="28"/>
          <w:szCs w:val="28"/>
        </w:rPr>
        <w:t>进一步统筹财力、优化支出结构，加大对内涵式发展的投入，发挥资金的杠杆和引导作用。省财政给高校的新增经费主要用于重点学科、本专科教学、协同创新、信息化及资源共享等重点工程项目。完善省属高校生</w:t>
      </w:r>
      <w:proofErr w:type="gramStart"/>
      <w:r w:rsidRPr="00892A3D">
        <w:rPr>
          <w:sz w:val="28"/>
          <w:szCs w:val="28"/>
        </w:rPr>
        <w:t>均财政</w:t>
      </w:r>
      <w:proofErr w:type="gramEnd"/>
      <w:r w:rsidRPr="00892A3D">
        <w:rPr>
          <w:sz w:val="28"/>
          <w:szCs w:val="28"/>
        </w:rPr>
        <w:t>拨款制度，注重体现办学质量和水平的差异，建立动态调整机制，保证生均拨款逐步增长。根据经济发展状况、培养成本和群众承受能力，按照年生均教育成本的一定比例，适时、适当调整高校学费标准，并区别办学水平，合理制定差异化学费标准。设立省属高校基本科研业务费，提高研究生奖助学标准。鼓励和吸引社会对高校捐赠资金，落实企业所得税和个人所得税税前扣除政策。支持高校依法依规盘活土地、房屋等资产资源。深化高校总会计师制度改革，建立健全内部控制体系，积极推进高校财务信息公开和预算绩效评价。加快高校经费省级监管平台建设，实施高校财务巡视检查，强化年度内部审计制度，提高经费使用效益。</w:t>
      </w:r>
    </w:p>
    <w:p w:rsidR="00B24227" w:rsidRPr="00892A3D" w:rsidRDefault="00892A3D" w:rsidP="00892A3D">
      <w:pPr>
        <w:rPr>
          <w:sz w:val="28"/>
          <w:szCs w:val="28"/>
        </w:rPr>
      </w:pPr>
      <w:r w:rsidRPr="00892A3D">
        <w:rPr>
          <w:sz w:val="28"/>
          <w:szCs w:val="28"/>
        </w:rPr>
        <w:t>  </w:t>
      </w:r>
      <w:r w:rsidRPr="00892A3D">
        <w:rPr>
          <w:b/>
          <w:bCs/>
          <w:sz w:val="28"/>
          <w:szCs w:val="28"/>
        </w:rPr>
        <w:t>    </w:t>
      </w:r>
      <w:r>
        <w:rPr>
          <w:rFonts w:hint="eastAsia"/>
          <w:b/>
          <w:bCs/>
          <w:sz w:val="28"/>
          <w:szCs w:val="28"/>
        </w:rPr>
        <w:t xml:space="preserve"> </w:t>
      </w:r>
      <w:r w:rsidRPr="00892A3D">
        <w:rPr>
          <w:b/>
          <w:bCs/>
          <w:sz w:val="28"/>
          <w:szCs w:val="28"/>
        </w:rPr>
        <w:t>十六、细化政策，抓好落实。</w:t>
      </w:r>
      <w:r w:rsidRPr="00892A3D">
        <w:rPr>
          <w:sz w:val="28"/>
          <w:szCs w:val="28"/>
        </w:rPr>
        <w:t>省级各有关部门、各设区市党委、政府及各高校要站在全局的高度，按照</w:t>
      </w:r>
      <w:r w:rsidRPr="00892A3D">
        <w:rPr>
          <w:sz w:val="28"/>
          <w:szCs w:val="28"/>
        </w:rPr>
        <w:t>“</w:t>
      </w:r>
      <w:r w:rsidRPr="00892A3D">
        <w:rPr>
          <w:sz w:val="28"/>
          <w:szCs w:val="28"/>
        </w:rPr>
        <w:t>解放思想、超前谋划、着眼问题、便于操作</w:t>
      </w:r>
      <w:r w:rsidRPr="00892A3D">
        <w:rPr>
          <w:sz w:val="28"/>
          <w:szCs w:val="28"/>
        </w:rPr>
        <w:t>”</w:t>
      </w:r>
      <w:r w:rsidRPr="00892A3D">
        <w:rPr>
          <w:sz w:val="28"/>
          <w:szCs w:val="28"/>
        </w:rPr>
        <w:t>的要求，创造性地制定好配套政策措施或具体实施方案，细化任务，扎实推进，加强督查，确保落实。</w:t>
      </w:r>
      <w:r w:rsidRPr="00892A3D">
        <w:rPr>
          <w:sz w:val="28"/>
          <w:szCs w:val="28"/>
        </w:rPr>
        <w:t> </w:t>
      </w:r>
    </w:p>
    <w:sectPr w:rsidR="00B24227" w:rsidRPr="00892A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A3D"/>
    <w:rsid w:val="00892A3D"/>
    <w:rsid w:val="00B24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294868">
      <w:bodyDiv w:val="1"/>
      <w:marLeft w:val="0"/>
      <w:marRight w:val="0"/>
      <w:marTop w:val="0"/>
      <w:marBottom w:val="0"/>
      <w:divBdr>
        <w:top w:val="none" w:sz="0" w:space="0" w:color="auto"/>
        <w:left w:val="none" w:sz="0" w:space="0" w:color="auto"/>
        <w:bottom w:val="none" w:sz="0" w:space="0" w:color="auto"/>
        <w:right w:val="none" w:sz="0" w:space="0" w:color="auto"/>
      </w:divBdr>
      <w:divsChild>
        <w:div w:id="491063976">
          <w:marLeft w:val="0"/>
          <w:marRight w:val="0"/>
          <w:marTop w:val="0"/>
          <w:marBottom w:val="0"/>
          <w:divBdr>
            <w:top w:val="none" w:sz="0" w:space="0" w:color="auto"/>
            <w:left w:val="none" w:sz="0" w:space="0" w:color="auto"/>
            <w:bottom w:val="none" w:sz="0" w:space="0" w:color="auto"/>
            <w:right w:val="none" w:sz="0" w:space="0" w:color="auto"/>
          </w:divBdr>
        </w:div>
        <w:div w:id="1721588635">
          <w:marLeft w:val="0"/>
          <w:marRight w:val="0"/>
          <w:marTop w:val="0"/>
          <w:marBottom w:val="0"/>
          <w:divBdr>
            <w:top w:val="none" w:sz="0" w:space="0" w:color="auto"/>
            <w:left w:val="none" w:sz="0" w:space="0" w:color="auto"/>
            <w:bottom w:val="none" w:sz="0" w:space="0" w:color="auto"/>
            <w:right w:val="none" w:sz="0" w:space="0" w:color="auto"/>
          </w:divBdr>
        </w:div>
        <w:div w:id="1579906042">
          <w:marLeft w:val="0"/>
          <w:marRight w:val="0"/>
          <w:marTop w:val="0"/>
          <w:marBottom w:val="0"/>
          <w:divBdr>
            <w:top w:val="none" w:sz="0" w:space="0" w:color="auto"/>
            <w:left w:val="none" w:sz="0" w:space="0" w:color="auto"/>
            <w:bottom w:val="none" w:sz="0" w:space="0" w:color="auto"/>
            <w:right w:val="none" w:sz="0" w:space="0" w:color="auto"/>
          </w:divBdr>
        </w:div>
        <w:div w:id="1894655013">
          <w:marLeft w:val="0"/>
          <w:marRight w:val="0"/>
          <w:marTop w:val="0"/>
          <w:marBottom w:val="0"/>
          <w:divBdr>
            <w:top w:val="none" w:sz="0" w:space="0" w:color="auto"/>
            <w:left w:val="none" w:sz="0" w:space="0" w:color="auto"/>
            <w:bottom w:val="none" w:sz="0" w:space="0" w:color="auto"/>
            <w:right w:val="none" w:sz="0" w:space="0" w:color="auto"/>
          </w:divBdr>
        </w:div>
        <w:div w:id="1052075733">
          <w:marLeft w:val="0"/>
          <w:marRight w:val="0"/>
          <w:marTop w:val="0"/>
          <w:marBottom w:val="0"/>
          <w:divBdr>
            <w:top w:val="none" w:sz="0" w:space="0" w:color="auto"/>
            <w:left w:val="none" w:sz="0" w:space="0" w:color="auto"/>
            <w:bottom w:val="none" w:sz="0" w:space="0" w:color="auto"/>
            <w:right w:val="none" w:sz="0" w:space="0" w:color="auto"/>
          </w:divBdr>
        </w:div>
        <w:div w:id="698625847">
          <w:marLeft w:val="0"/>
          <w:marRight w:val="0"/>
          <w:marTop w:val="0"/>
          <w:marBottom w:val="0"/>
          <w:divBdr>
            <w:top w:val="none" w:sz="0" w:space="0" w:color="auto"/>
            <w:left w:val="none" w:sz="0" w:space="0" w:color="auto"/>
            <w:bottom w:val="none" w:sz="0" w:space="0" w:color="auto"/>
            <w:right w:val="none" w:sz="0" w:space="0" w:color="auto"/>
          </w:divBdr>
        </w:div>
        <w:div w:id="1791314815">
          <w:marLeft w:val="0"/>
          <w:marRight w:val="0"/>
          <w:marTop w:val="0"/>
          <w:marBottom w:val="0"/>
          <w:divBdr>
            <w:top w:val="none" w:sz="0" w:space="0" w:color="auto"/>
            <w:left w:val="none" w:sz="0" w:space="0" w:color="auto"/>
            <w:bottom w:val="none" w:sz="0" w:space="0" w:color="auto"/>
            <w:right w:val="none" w:sz="0" w:space="0" w:color="auto"/>
          </w:divBdr>
        </w:div>
        <w:div w:id="1499349850">
          <w:marLeft w:val="0"/>
          <w:marRight w:val="0"/>
          <w:marTop w:val="0"/>
          <w:marBottom w:val="0"/>
          <w:divBdr>
            <w:top w:val="none" w:sz="0" w:space="0" w:color="auto"/>
            <w:left w:val="none" w:sz="0" w:space="0" w:color="auto"/>
            <w:bottom w:val="none" w:sz="0" w:space="0" w:color="auto"/>
            <w:right w:val="none" w:sz="0" w:space="0" w:color="auto"/>
          </w:divBdr>
        </w:div>
        <w:div w:id="1960259830">
          <w:marLeft w:val="0"/>
          <w:marRight w:val="0"/>
          <w:marTop w:val="0"/>
          <w:marBottom w:val="0"/>
          <w:divBdr>
            <w:top w:val="none" w:sz="0" w:space="0" w:color="auto"/>
            <w:left w:val="none" w:sz="0" w:space="0" w:color="auto"/>
            <w:bottom w:val="none" w:sz="0" w:space="0" w:color="auto"/>
            <w:right w:val="none" w:sz="0" w:space="0" w:color="auto"/>
          </w:divBdr>
        </w:div>
        <w:div w:id="1886599815">
          <w:marLeft w:val="0"/>
          <w:marRight w:val="0"/>
          <w:marTop w:val="0"/>
          <w:marBottom w:val="0"/>
          <w:divBdr>
            <w:top w:val="none" w:sz="0" w:space="0" w:color="auto"/>
            <w:left w:val="none" w:sz="0" w:space="0" w:color="auto"/>
            <w:bottom w:val="none" w:sz="0" w:space="0" w:color="auto"/>
            <w:right w:val="none" w:sz="0" w:space="0" w:color="auto"/>
          </w:divBdr>
        </w:div>
        <w:div w:id="1836795674">
          <w:marLeft w:val="0"/>
          <w:marRight w:val="0"/>
          <w:marTop w:val="0"/>
          <w:marBottom w:val="0"/>
          <w:divBdr>
            <w:top w:val="none" w:sz="0" w:space="0" w:color="auto"/>
            <w:left w:val="none" w:sz="0" w:space="0" w:color="auto"/>
            <w:bottom w:val="none" w:sz="0" w:space="0" w:color="auto"/>
            <w:right w:val="none" w:sz="0" w:space="0" w:color="auto"/>
          </w:divBdr>
        </w:div>
        <w:div w:id="1156579439">
          <w:marLeft w:val="0"/>
          <w:marRight w:val="0"/>
          <w:marTop w:val="0"/>
          <w:marBottom w:val="0"/>
          <w:divBdr>
            <w:top w:val="none" w:sz="0" w:space="0" w:color="auto"/>
            <w:left w:val="none" w:sz="0" w:space="0" w:color="auto"/>
            <w:bottom w:val="none" w:sz="0" w:space="0" w:color="auto"/>
            <w:right w:val="none" w:sz="0" w:space="0" w:color="auto"/>
          </w:divBdr>
        </w:div>
        <w:div w:id="669795181">
          <w:marLeft w:val="0"/>
          <w:marRight w:val="0"/>
          <w:marTop w:val="0"/>
          <w:marBottom w:val="0"/>
          <w:divBdr>
            <w:top w:val="none" w:sz="0" w:space="0" w:color="auto"/>
            <w:left w:val="none" w:sz="0" w:space="0" w:color="auto"/>
            <w:bottom w:val="none" w:sz="0" w:space="0" w:color="auto"/>
            <w:right w:val="none" w:sz="0" w:space="0" w:color="auto"/>
          </w:divBdr>
        </w:div>
        <w:div w:id="948271706">
          <w:marLeft w:val="0"/>
          <w:marRight w:val="0"/>
          <w:marTop w:val="0"/>
          <w:marBottom w:val="0"/>
          <w:divBdr>
            <w:top w:val="none" w:sz="0" w:space="0" w:color="auto"/>
            <w:left w:val="none" w:sz="0" w:space="0" w:color="auto"/>
            <w:bottom w:val="none" w:sz="0" w:space="0" w:color="auto"/>
            <w:right w:val="none" w:sz="0" w:space="0" w:color="auto"/>
          </w:divBdr>
        </w:div>
        <w:div w:id="740186">
          <w:marLeft w:val="0"/>
          <w:marRight w:val="0"/>
          <w:marTop w:val="0"/>
          <w:marBottom w:val="0"/>
          <w:divBdr>
            <w:top w:val="none" w:sz="0" w:space="0" w:color="auto"/>
            <w:left w:val="none" w:sz="0" w:space="0" w:color="auto"/>
            <w:bottom w:val="none" w:sz="0" w:space="0" w:color="auto"/>
            <w:right w:val="none" w:sz="0" w:space="0" w:color="auto"/>
          </w:divBdr>
        </w:div>
        <w:div w:id="1724448842">
          <w:marLeft w:val="0"/>
          <w:marRight w:val="0"/>
          <w:marTop w:val="0"/>
          <w:marBottom w:val="0"/>
          <w:divBdr>
            <w:top w:val="none" w:sz="0" w:space="0" w:color="auto"/>
            <w:left w:val="none" w:sz="0" w:space="0" w:color="auto"/>
            <w:bottom w:val="none" w:sz="0" w:space="0" w:color="auto"/>
            <w:right w:val="none" w:sz="0" w:space="0" w:color="auto"/>
          </w:divBdr>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sChild>
        <w:div w:id="1716543337">
          <w:marLeft w:val="0"/>
          <w:marRight w:val="0"/>
          <w:marTop w:val="0"/>
          <w:marBottom w:val="0"/>
          <w:divBdr>
            <w:top w:val="none" w:sz="0" w:space="0" w:color="auto"/>
            <w:left w:val="none" w:sz="0" w:space="0" w:color="auto"/>
            <w:bottom w:val="none" w:sz="0" w:space="0" w:color="auto"/>
            <w:right w:val="none" w:sz="0" w:space="0" w:color="auto"/>
          </w:divBdr>
        </w:div>
        <w:div w:id="1934896049">
          <w:marLeft w:val="0"/>
          <w:marRight w:val="0"/>
          <w:marTop w:val="0"/>
          <w:marBottom w:val="0"/>
          <w:divBdr>
            <w:top w:val="none" w:sz="0" w:space="0" w:color="auto"/>
            <w:left w:val="none" w:sz="0" w:space="0" w:color="auto"/>
            <w:bottom w:val="none" w:sz="0" w:space="0" w:color="auto"/>
            <w:right w:val="none" w:sz="0" w:space="0" w:color="auto"/>
          </w:divBdr>
        </w:div>
        <w:div w:id="843978910">
          <w:marLeft w:val="0"/>
          <w:marRight w:val="0"/>
          <w:marTop w:val="0"/>
          <w:marBottom w:val="0"/>
          <w:divBdr>
            <w:top w:val="none" w:sz="0" w:space="0" w:color="auto"/>
            <w:left w:val="none" w:sz="0" w:space="0" w:color="auto"/>
            <w:bottom w:val="none" w:sz="0" w:space="0" w:color="auto"/>
            <w:right w:val="none" w:sz="0" w:space="0" w:color="auto"/>
          </w:divBdr>
        </w:div>
        <w:div w:id="1966420826">
          <w:marLeft w:val="0"/>
          <w:marRight w:val="0"/>
          <w:marTop w:val="0"/>
          <w:marBottom w:val="0"/>
          <w:divBdr>
            <w:top w:val="none" w:sz="0" w:space="0" w:color="auto"/>
            <w:left w:val="none" w:sz="0" w:space="0" w:color="auto"/>
            <w:bottom w:val="none" w:sz="0" w:space="0" w:color="auto"/>
            <w:right w:val="none" w:sz="0" w:space="0" w:color="auto"/>
          </w:divBdr>
        </w:div>
        <w:div w:id="558054524">
          <w:marLeft w:val="0"/>
          <w:marRight w:val="0"/>
          <w:marTop w:val="0"/>
          <w:marBottom w:val="0"/>
          <w:divBdr>
            <w:top w:val="none" w:sz="0" w:space="0" w:color="auto"/>
            <w:left w:val="none" w:sz="0" w:space="0" w:color="auto"/>
            <w:bottom w:val="none" w:sz="0" w:space="0" w:color="auto"/>
            <w:right w:val="none" w:sz="0" w:space="0" w:color="auto"/>
          </w:divBdr>
        </w:div>
        <w:div w:id="190608105">
          <w:marLeft w:val="0"/>
          <w:marRight w:val="0"/>
          <w:marTop w:val="0"/>
          <w:marBottom w:val="0"/>
          <w:divBdr>
            <w:top w:val="none" w:sz="0" w:space="0" w:color="auto"/>
            <w:left w:val="none" w:sz="0" w:space="0" w:color="auto"/>
            <w:bottom w:val="none" w:sz="0" w:space="0" w:color="auto"/>
            <w:right w:val="none" w:sz="0" w:space="0" w:color="auto"/>
          </w:divBdr>
        </w:div>
        <w:div w:id="179927953">
          <w:marLeft w:val="0"/>
          <w:marRight w:val="0"/>
          <w:marTop w:val="0"/>
          <w:marBottom w:val="0"/>
          <w:divBdr>
            <w:top w:val="none" w:sz="0" w:space="0" w:color="auto"/>
            <w:left w:val="none" w:sz="0" w:space="0" w:color="auto"/>
            <w:bottom w:val="none" w:sz="0" w:space="0" w:color="auto"/>
            <w:right w:val="none" w:sz="0" w:space="0" w:color="auto"/>
          </w:divBdr>
        </w:div>
        <w:div w:id="216203276">
          <w:marLeft w:val="0"/>
          <w:marRight w:val="0"/>
          <w:marTop w:val="0"/>
          <w:marBottom w:val="0"/>
          <w:divBdr>
            <w:top w:val="none" w:sz="0" w:space="0" w:color="auto"/>
            <w:left w:val="none" w:sz="0" w:space="0" w:color="auto"/>
            <w:bottom w:val="none" w:sz="0" w:space="0" w:color="auto"/>
            <w:right w:val="none" w:sz="0" w:space="0" w:color="auto"/>
          </w:divBdr>
        </w:div>
        <w:div w:id="1690064871">
          <w:marLeft w:val="0"/>
          <w:marRight w:val="0"/>
          <w:marTop w:val="0"/>
          <w:marBottom w:val="0"/>
          <w:divBdr>
            <w:top w:val="none" w:sz="0" w:space="0" w:color="auto"/>
            <w:left w:val="none" w:sz="0" w:space="0" w:color="auto"/>
            <w:bottom w:val="none" w:sz="0" w:space="0" w:color="auto"/>
            <w:right w:val="none" w:sz="0" w:space="0" w:color="auto"/>
          </w:divBdr>
        </w:div>
        <w:div w:id="1293056579">
          <w:marLeft w:val="0"/>
          <w:marRight w:val="0"/>
          <w:marTop w:val="0"/>
          <w:marBottom w:val="0"/>
          <w:divBdr>
            <w:top w:val="none" w:sz="0" w:space="0" w:color="auto"/>
            <w:left w:val="none" w:sz="0" w:space="0" w:color="auto"/>
            <w:bottom w:val="none" w:sz="0" w:space="0" w:color="auto"/>
            <w:right w:val="none" w:sz="0" w:space="0" w:color="auto"/>
          </w:divBdr>
        </w:div>
        <w:div w:id="2016347524">
          <w:marLeft w:val="0"/>
          <w:marRight w:val="0"/>
          <w:marTop w:val="0"/>
          <w:marBottom w:val="0"/>
          <w:divBdr>
            <w:top w:val="none" w:sz="0" w:space="0" w:color="auto"/>
            <w:left w:val="none" w:sz="0" w:space="0" w:color="auto"/>
            <w:bottom w:val="none" w:sz="0" w:space="0" w:color="auto"/>
            <w:right w:val="none" w:sz="0" w:space="0" w:color="auto"/>
          </w:divBdr>
        </w:div>
        <w:div w:id="485633014">
          <w:marLeft w:val="0"/>
          <w:marRight w:val="0"/>
          <w:marTop w:val="0"/>
          <w:marBottom w:val="0"/>
          <w:divBdr>
            <w:top w:val="none" w:sz="0" w:space="0" w:color="auto"/>
            <w:left w:val="none" w:sz="0" w:space="0" w:color="auto"/>
            <w:bottom w:val="none" w:sz="0" w:space="0" w:color="auto"/>
            <w:right w:val="none" w:sz="0" w:space="0" w:color="auto"/>
          </w:divBdr>
        </w:div>
        <w:div w:id="186138280">
          <w:marLeft w:val="0"/>
          <w:marRight w:val="0"/>
          <w:marTop w:val="0"/>
          <w:marBottom w:val="0"/>
          <w:divBdr>
            <w:top w:val="none" w:sz="0" w:space="0" w:color="auto"/>
            <w:left w:val="none" w:sz="0" w:space="0" w:color="auto"/>
            <w:bottom w:val="none" w:sz="0" w:space="0" w:color="auto"/>
            <w:right w:val="none" w:sz="0" w:space="0" w:color="auto"/>
          </w:divBdr>
        </w:div>
        <w:div w:id="1530874023">
          <w:marLeft w:val="0"/>
          <w:marRight w:val="0"/>
          <w:marTop w:val="0"/>
          <w:marBottom w:val="0"/>
          <w:divBdr>
            <w:top w:val="none" w:sz="0" w:space="0" w:color="auto"/>
            <w:left w:val="none" w:sz="0" w:space="0" w:color="auto"/>
            <w:bottom w:val="none" w:sz="0" w:space="0" w:color="auto"/>
            <w:right w:val="none" w:sz="0" w:space="0" w:color="auto"/>
          </w:divBdr>
        </w:div>
        <w:div w:id="1527526689">
          <w:marLeft w:val="0"/>
          <w:marRight w:val="0"/>
          <w:marTop w:val="0"/>
          <w:marBottom w:val="0"/>
          <w:divBdr>
            <w:top w:val="none" w:sz="0" w:space="0" w:color="auto"/>
            <w:left w:val="none" w:sz="0" w:space="0" w:color="auto"/>
            <w:bottom w:val="none" w:sz="0" w:space="0" w:color="auto"/>
            <w:right w:val="none" w:sz="0" w:space="0" w:color="auto"/>
          </w:divBdr>
        </w:div>
        <w:div w:id="100416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2016-03-31T02:10:00Z</dcterms:created>
  <dcterms:modified xsi:type="dcterms:W3CDTF">2016-03-31T02:11:00Z</dcterms:modified>
</cp:coreProperties>
</file>